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47" w:rsidRPr="00F36BA9" w:rsidRDefault="00FA5847" w:rsidP="00FA5847">
      <w:pPr>
        <w:spacing w:after="120" w:line="276" w:lineRule="auto"/>
        <w:jc w:val="both"/>
        <w:rPr>
          <w:rFonts w:ascii="Times New Roman" w:eastAsia="Times New Roman" w:hAnsi="Times New Roman" w:cs="Times New Roman"/>
          <w:b/>
          <w:i/>
          <w:color w:val="000000"/>
          <w:sz w:val="24"/>
          <w:szCs w:val="24"/>
          <w:u w:val="single"/>
        </w:rPr>
      </w:pPr>
      <w:r w:rsidRPr="00F36BA9">
        <w:rPr>
          <w:rFonts w:ascii="Times New Roman" w:eastAsia="Times New Roman" w:hAnsi="Times New Roman" w:cs="Times New Roman"/>
          <w:b/>
          <w:i/>
          <w:color w:val="000000"/>
          <w:sz w:val="24"/>
          <w:szCs w:val="24"/>
          <w:u w:val="single"/>
        </w:rPr>
        <w:t>Parathënie për Procesin e Vlerësimit të Brendshëm</w:t>
      </w:r>
    </w:p>
    <w:p w:rsidR="00FA5847" w:rsidRPr="00F36BA9" w:rsidRDefault="00FA5847" w:rsidP="00FA5847">
      <w:pPr>
        <w:spacing w:after="120" w:line="276" w:lineRule="auto"/>
        <w:jc w:val="both"/>
        <w:rPr>
          <w:rFonts w:ascii="Times New Roman" w:eastAsia="Times New Roman" w:hAnsi="Times New Roman" w:cs="Times New Roman"/>
          <w:b/>
          <w:color w:val="000000"/>
          <w:sz w:val="24"/>
          <w:szCs w:val="24"/>
          <w:u w:val="single"/>
        </w:rPr>
      </w:pPr>
    </w:p>
    <w:p w:rsidR="00FA5847" w:rsidRPr="00F36BA9" w:rsidRDefault="00FA5847" w:rsidP="00FA5847">
      <w:pPr>
        <w:spacing w:after="120" w:line="276" w:lineRule="auto"/>
        <w:jc w:val="both"/>
        <w:rPr>
          <w:rFonts w:ascii="Times New Roman" w:eastAsia="Calibri" w:hAnsi="Times New Roman" w:cs="Times New Roman"/>
          <w:b/>
          <w:color w:val="000000"/>
          <w:sz w:val="24"/>
          <w:szCs w:val="24"/>
        </w:rPr>
      </w:pPr>
      <w:r w:rsidRPr="00F36BA9">
        <w:rPr>
          <w:rFonts w:ascii="Times New Roman" w:eastAsia="Calibri" w:hAnsi="Times New Roman" w:cs="Times New Roman"/>
          <w:b/>
          <w:color w:val="000000"/>
          <w:sz w:val="24"/>
          <w:szCs w:val="24"/>
        </w:rPr>
        <w:t>PARIMET E PUNËS SË GVB</w:t>
      </w:r>
    </w:p>
    <w:p w:rsidR="00FA5847" w:rsidRPr="00F36BA9" w:rsidRDefault="00FA5847" w:rsidP="00FA5847">
      <w:pPr>
        <w:numPr>
          <w:ilvl w:val="0"/>
          <w:numId w:val="17"/>
        </w:numPr>
        <w:tabs>
          <w:tab w:val="left" w:pos="742"/>
        </w:tabs>
        <w:autoSpaceDE w:val="0"/>
        <w:autoSpaceDN w:val="0"/>
        <w:adjustRightInd w:val="0"/>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i Cilësisë duhet të karakterizohet nga profesionalizmi, vërtetësia, objektiviteti, paanshmëria, transparenca e plotë dhe përfshirja e të gjithë aktorëve në të gjitha fazat e vlerësimit.</w:t>
      </w:r>
    </w:p>
    <w:p w:rsidR="00FA5847" w:rsidRPr="00F36BA9" w:rsidRDefault="00FA5847" w:rsidP="00FA5847">
      <w:pPr>
        <w:numPr>
          <w:ilvl w:val="0"/>
          <w:numId w:val="17"/>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Zhvillimi i Njësisë së Sigurimit të Brendshëm të Cilësisë (NJSBC) në Njësitë e IAL.</w:t>
      </w:r>
    </w:p>
    <w:p w:rsidR="00FA5847" w:rsidRPr="00F36BA9" w:rsidRDefault="00FA5847" w:rsidP="00FA5847">
      <w:pPr>
        <w:numPr>
          <w:ilvl w:val="0"/>
          <w:numId w:val="17"/>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realizojë Vlerësimin e Brendshëm me synimin që të krijohet një tabllo e qartë dhe transparente e Njësisë nën vlerësim, për të ndërtuar politika zhvillimi në përputhje me misionin e saj dhe të shërbejë si bazë për procesin e mëtejshëm të akreditimit të institucioneve e programeve</w:t>
      </w:r>
    </w:p>
    <w:p w:rsidR="00FA5847" w:rsidRPr="00F36BA9" w:rsidRDefault="00FA5847" w:rsidP="00FA5847">
      <w:pPr>
        <w:numPr>
          <w:ilvl w:val="0"/>
          <w:numId w:val="17"/>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bëjë publik informacionin me qëllim që të gjithë partnerët dhe publiku i gjerë (studentët, prindërit, stafet akademike dhe ndihmëse, partnerët e tjerë socialë, ekonomikë e politikë) të informohen për gjendjen e njësisë, programeve, kurrikulave, shërbimeve, etj.</w:t>
      </w:r>
    </w:p>
    <w:p w:rsidR="00FA5847" w:rsidRPr="00F36BA9" w:rsidRDefault="00FA5847" w:rsidP="00FA5847">
      <w:pPr>
        <w:numPr>
          <w:ilvl w:val="0"/>
          <w:numId w:val="17"/>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shërbejë në fund të fundit për kultivimin e Kulturës së Cilësisë në Institucionet e Arsimit të Lartë si pjesë e tyre e brendshme dhe e qëndrueshme.</w:t>
      </w:r>
    </w:p>
    <w:p w:rsidR="00FA5847" w:rsidRPr="00F36BA9" w:rsidRDefault="00FA5847" w:rsidP="00FA5847">
      <w:pPr>
        <w:numPr>
          <w:ilvl w:val="0"/>
          <w:numId w:val="17"/>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të bëhet i mbështetur në dokumenta, procedura, anketime, takime me palët e interesuara etj.</w:t>
      </w:r>
    </w:p>
    <w:p w:rsidR="00FA5847" w:rsidRPr="00F36BA9" w:rsidRDefault="00FA5847" w:rsidP="00FA5847">
      <w:pPr>
        <w:numPr>
          <w:ilvl w:val="0"/>
          <w:numId w:val="17"/>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Hartimi i Raportit të Vlerësimit të Brendshëm (RVB) të kryhet sipas formatit të hartuar nga ASCAL, duke mos bërë asnjë lloj ndryshimi (psh. Bashkim kriteresh, heqje kriteresh, etj.).</w:t>
      </w:r>
    </w:p>
    <w:p w:rsidR="00FA5847" w:rsidRPr="00F36BA9" w:rsidRDefault="00FA5847" w:rsidP="00FA5847">
      <w:pPr>
        <w:keepNext/>
        <w:tabs>
          <w:tab w:val="left" w:pos="993"/>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FA5847" w:rsidRPr="00F36BA9" w:rsidRDefault="00FA5847" w:rsidP="00FA5847">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F36BA9">
        <w:rPr>
          <w:rFonts w:ascii="Times New Roman" w:eastAsia="Times New Roman" w:hAnsi="Times New Roman" w:cs="Times New Roman"/>
          <w:b/>
          <w:color w:val="000000"/>
          <w:sz w:val="24"/>
          <w:szCs w:val="24"/>
          <w:lang w:val="it-IT"/>
        </w:rPr>
        <w:t>ETAPAT E PROCEDURËS SË VLERËSIMIT TË BRENDSHËM NGA INSTITUCIONET E ARSIMIT TË LARTË</w:t>
      </w:r>
    </w:p>
    <w:p w:rsidR="00FA5847" w:rsidRPr="00F36BA9" w:rsidRDefault="00FA5847" w:rsidP="00FA5847">
      <w:pPr>
        <w:spacing w:after="120" w:line="276" w:lineRule="auto"/>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Paraqitja e kërkesës së IAL për vlerësim dhe shqyrtimi i saj nga ASCAL dhe Bordi i Akreditimit.</w:t>
      </w:r>
    </w:p>
    <w:p w:rsidR="00FA5847" w:rsidRPr="00F36BA9"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Miratimi i kërkesës dhe përcaktimi i afateve kohore të vlerësimit nga ASCAL dhe BA.</w:t>
      </w:r>
    </w:p>
    <w:p w:rsidR="00FA5847" w:rsidRPr="00F36BA9"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Njoftohet zyrtarisht Koordinatori i IAL, për fillimin e procesit të akreditimit, dhe caktohet data e takimit me të për diskutimin e hapave të procesit.</w:t>
      </w:r>
    </w:p>
    <w:p w:rsidR="00FA5847" w:rsidRPr="00F36BA9"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Ngritja e Grupit të Vlerësimit të Brendshëm; ky grup ngrihet nga titullari i njësisë;</w:t>
      </w:r>
    </w:p>
    <w:p w:rsidR="00FA5847" w:rsidRPr="00F36BA9"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Trainimi i GVB nga stafi i ASCAL; për këtë vihen në dispozicion materialet udhëzuese për vlerësimin, organizimin e grupit dhe procesin, detyrat, të drejtat e përgjegjësitë e secilit.</w:t>
      </w:r>
    </w:p>
    <w:p w:rsidR="00FA5847" w:rsidRPr="00F36BA9"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lastRenderedPageBreak/>
        <w:t xml:space="preserve">Kryerja e vlerësimit të brendshëm sipas udhëzuesit në fjalë (shih më tej). Gjatë kësaj faze GVB qëndron në kontakt të vazhdueshëm me ASCAL dhe asistohet nga kjo e fundit në rast kërkese; </w:t>
      </w:r>
    </w:p>
    <w:p w:rsidR="00FA5847" w:rsidRPr="00F36BA9"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Përgatitja e Dosjes së Vetëvlerësimit (DVV); </w:t>
      </w:r>
    </w:p>
    <w:p w:rsidR="00FA5847" w:rsidRDefault="00FA5847" w:rsidP="00FA5847">
      <w:pPr>
        <w:numPr>
          <w:ilvl w:val="0"/>
          <w:numId w:val="18"/>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Dorëzimi zyrtarisht në </w:t>
      </w:r>
      <w:r w:rsidRPr="00F36BA9">
        <w:rPr>
          <w:rFonts w:ascii="Times New Roman" w:eastAsia="Times New Roman" w:hAnsi="Times New Roman" w:cs="Times New Roman"/>
          <w:color w:val="000000"/>
          <w:sz w:val="24"/>
          <w:szCs w:val="24"/>
          <w:lang w:val="it-IT"/>
        </w:rPr>
        <w:t>ASCAL brenda afatit të përcaktuar (në versionin e printuar dhe elektronik CD, firmosur / vulosur nga IAL në çdo faqe)</w:t>
      </w:r>
      <w:r w:rsidRPr="00F36BA9">
        <w:rPr>
          <w:rFonts w:ascii="Times New Roman" w:eastAsia="Times New Roman" w:hAnsi="Times New Roman" w:cs="Times New Roman"/>
          <w:color w:val="000000"/>
          <w:sz w:val="24"/>
          <w:szCs w:val="24"/>
        </w:rPr>
        <w:t>, materialet të ngarkohen edhe në sistemin AMS të ASCAL.</w:t>
      </w:r>
    </w:p>
    <w:p w:rsidR="00FA5847" w:rsidRDefault="00FA5847" w:rsidP="00FA5847">
      <w:pPr>
        <w:spacing w:after="120" w:line="276" w:lineRule="auto"/>
        <w:jc w:val="both"/>
        <w:rPr>
          <w:rFonts w:ascii="Times New Roman" w:eastAsia="Times New Roman" w:hAnsi="Times New Roman" w:cs="Times New Roman"/>
          <w:color w:val="000000"/>
          <w:sz w:val="24"/>
          <w:szCs w:val="24"/>
        </w:rPr>
      </w:pPr>
    </w:p>
    <w:p w:rsidR="00FA5847" w:rsidRPr="00F36BA9" w:rsidRDefault="00FA5847" w:rsidP="00FA5847">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FA5847" w:rsidRPr="00F36BA9" w:rsidRDefault="00FA5847" w:rsidP="00FA5847">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Në përbërje të Dosjes së Vetëvlerësimit përfshihet: </w:t>
      </w:r>
      <w:r w:rsidRPr="00F36BA9">
        <w:rPr>
          <w:rFonts w:ascii="Times New Roman" w:eastAsia="Times New Roman" w:hAnsi="Times New Roman" w:cs="Times New Roman"/>
          <w:i/>
          <w:color w:val="000000"/>
          <w:sz w:val="24"/>
          <w:szCs w:val="24"/>
        </w:rPr>
        <w:t xml:space="preserve">Mendimi me shkrim i Drejtuesit të Njësisë </w:t>
      </w:r>
      <w:r w:rsidRPr="00F36BA9">
        <w:rPr>
          <w:rFonts w:ascii="Times New Roman" w:eastAsia="Times New Roman" w:hAnsi="Times New Roman" w:cs="Times New Roman"/>
          <w:color w:val="000000"/>
          <w:sz w:val="24"/>
          <w:szCs w:val="24"/>
        </w:rPr>
        <w:t>dhe</w:t>
      </w:r>
      <w:r w:rsidRPr="00F36BA9">
        <w:rPr>
          <w:rFonts w:ascii="Times New Roman" w:eastAsia="Times New Roman" w:hAnsi="Times New Roman" w:cs="Times New Roman"/>
          <w:i/>
          <w:color w:val="000000"/>
          <w:sz w:val="24"/>
          <w:szCs w:val="24"/>
        </w:rPr>
        <w:t xml:space="preserve"> Raporti i Vlerësimit të Brendshëm, </w:t>
      </w:r>
      <w:r w:rsidRPr="00F36BA9">
        <w:rPr>
          <w:rFonts w:ascii="Times New Roman" w:eastAsia="Times New Roman" w:hAnsi="Times New Roman" w:cs="Times New Roman"/>
          <w:color w:val="000000"/>
          <w:sz w:val="24"/>
          <w:szCs w:val="24"/>
        </w:rPr>
        <w:t>i shkruar dhe firmosur nga secili anëtar i GVB.</w:t>
      </w:r>
    </w:p>
    <w:p w:rsidR="00FA5847" w:rsidRPr="00F36BA9" w:rsidRDefault="00FA5847" w:rsidP="00FA5847">
      <w:pPr>
        <w:autoSpaceDE w:val="0"/>
        <w:autoSpaceDN w:val="0"/>
        <w:adjustRightInd w:val="0"/>
        <w:spacing w:after="120" w:line="276" w:lineRule="auto"/>
        <w:ind w:left="113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Kërkohet mendimi i drejtuesit të Njësisë, kur Programi i studimit po kalon fazën e rivlerësimit periodik. Në këtë rast ai do të shkruajë:</w:t>
      </w:r>
    </w:p>
    <w:p w:rsidR="00FA5847" w:rsidRPr="00F36BA9" w:rsidRDefault="00FA5847" w:rsidP="00FA5847">
      <w:pPr>
        <w:numPr>
          <w:ilvl w:val="0"/>
          <w:numId w:val="20"/>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dhëna për Institucionin e Arsimit të Lartë që ai drejton;</w:t>
      </w:r>
    </w:p>
    <w:p w:rsidR="00FA5847" w:rsidRPr="00F36BA9" w:rsidRDefault="00FA5847" w:rsidP="00FA5847">
      <w:pPr>
        <w:numPr>
          <w:ilvl w:val="0"/>
          <w:numId w:val="20"/>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japë opinionet e veta personale ku të tregohen vlerat e forta, dobësitë dhe perspektiva e programit të studimit për të cilën është përgjegjës;</w:t>
      </w:r>
    </w:p>
    <w:p w:rsidR="00FA5847" w:rsidRPr="00F36BA9" w:rsidRDefault="00FA5847" w:rsidP="00FA5847">
      <w:pPr>
        <w:numPr>
          <w:ilvl w:val="0"/>
          <w:numId w:val="20"/>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analizojë zhvillimet kryesore që nga vlerësimi i fundit, duke theksuar sidomos përmbushjen e detyrave të lëna nga vlerësimet e mëparshme;</w:t>
      </w:r>
    </w:p>
    <w:p w:rsidR="00FA5847" w:rsidRPr="00F36BA9" w:rsidRDefault="00FA5847" w:rsidP="00FA5847">
      <w:pPr>
        <w:numPr>
          <w:ilvl w:val="0"/>
          <w:numId w:val="20"/>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tregojë gjendjen ekzistuese në raport me atë programi/et e studimit, ka për mision ose synon të arrijë.</w:t>
      </w:r>
    </w:p>
    <w:p w:rsidR="00FA5847" w:rsidRPr="00F36BA9" w:rsidRDefault="00FA5847" w:rsidP="00FA5847">
      <w:pPr>
        <w:spacing w:after="120" w:line="276" w:lineRule="auto"/>
        <w:jc w:val="both"/>
        <w:rPr>
          <w:rFonts w:ascii="Times New Roman" w:eastAsia="Times New Roman" w:hAnsi="Times New Roman" w:cs="Times New Roman"/>
          <w:color w:val="000000"/>
          <w:sz w:val="24"/>
          <w:szCs w:val="24"/>
        </w:rPr>
      </w:pPr>
    </w:p>
    <w:p w:rsidR="00FA5847" w:rsidRPr="00F36BA9" w:rsidRDefault="00FA5847" w:rsidP="00FA5847">
      <w:pPr>
        <w:keepNext/>
        <w:spacing w:after="120" w:line="276" w:lineRule="auto"/>
        <w:jc w:val="both"/>
        <w:outlineLvl w:val="2"/>
        <w:rPr>
          <w:rFonts w:ascii="Times New Roman" w:eastAsia="Times New Roman" w:hAnsi="Times New Roman" w:cs="Times New Roman"/>
          <w:b/>
          <w:color w:val="000000"/>
          <w:sz w:val="24"/>
          <w:szCs w:val="24"/>
        </w:rPr>
      </w:pPr>
      <w:bookmarkStart w:id="0" w:name="_Toc348967319"/>
      <w:bookmarkStart w:id="1" w:name="_Toc437441518"/>
      <w:r w:rsidRPr="00F36BA9">
        <w:rPr>
          <w:rFonts w:ascii="Times New Roman" w:eastAsia="Times New Roman" w:hAnsi="Times New Roman" w:cs="Times New Roman"/>
          <w:b/>
          <w:color w:val="000000"/>
          <w:sz w:val="24"/>
          <w:szCs w:val="24"/>
        </w:rPr>
        <w:t>PËRMBAJTJA DOSJES SË VETËVLERËSIMIT</w:t>
      </w:r>
      <w:bookmarkEnd w:id="0"/>
      <w:bookmarkEnd w:id="1"/>
      <w:r w:rsidRPr="00F36BA9">
        <w:rPr>
          <w:rFonts w:ascii="Times New Roman" w:eastAsia="Times New Roman" w:hAnsi="Times New Roman" w:cs="Times New Roman"/>
          <w:b/>
          <w:color w:val="000000"/>
          <w:sz w:val="24"/>
          <w:szCs w:val="24"/>
        </w:rPr>
        <w:t xml:space="preserve"> </w:t>
      </w:r>
    </w:p>
    <w:p w:rsidR="00FA5847" w:rsidRPr="00F36BA9" w:rsidRDefault="00FA5847" w:rsidP="00FA5847">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Dosja e Vlerësimit të Brendshëm në kuadër të vlerësimit të jashtëm dhe akreditimit të programit të studimit duhet të përmbajë këto dokumente:</w:t>
      </w:r>
    </w:p>
    <w:p w:rsidR="00FA5847" w:rsidRPr="00F36BA9" w:rsidRDefault="00FA5847" w:rsidP="00FA5847">
      <w:pPr>
        <w:numPr>
          <w:ilvl w:val="0"/>
          <w:numId w:val="19"/>
        </w:numPr>
        <w:spacing w:after="120" w:line="276" w:lineRule="auto"/>
        <w:ind w:left="357" w:hanging="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Mendimi me shkrim i Drejtuesit të IAL (Universitetit/Fakultetit);</w:t>
      </w:r>
    </w:p>
    <w:p w:rsidR="00FA5847" w:rsidRPr="00F36BA9" w:rsidRDefault="00FA5847" w:rsidP="00FA5847">
      <w:pPr>
        <w:numPr>
          <w:ilvl w:val="0"/>
          <w:numId w:val="19"/>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en-GB"/>
        </w:rPr>
        <w:t xml:space="preserve">Raporti i Vlerësimit të Brendshëm, i firmosur nga të gjithë anëtarët e GVB. </w:t>
      </w:r>
      <w:r>
        <w:rPr>
          <w:rFonts w:ascii="Times New Roman" w:eastAsia="Calibri" w:hAnsi="Times New Roman" w:cs="Times New Roman"/>
          <w:color w:val="000000"/>
          <w:sz w:val="24"/>
          <w:szCs w:val="24"/>
          <w:lang w:val="it-IT"/>
        </w:rPr>
        <w:t>RVB</w:t>
      </w:r>
      <w:r w:rsidRPr="00F36BA9">
        <w:rPr>
          <w:rFonts w:ascii="Times New Roman" w:eastAsia="Calibri" w:hAnsi="Times New Roman" w:cs="Times New Roman"/>
          <w:color w:val="000000"/>
          <w:sz w:val="24"/>
          <w:szCs w:val="24"/>
          <w:lang w:val="it-IT"/>
        </w:rPr>
        <w:t xml:space="preserve"> përbëhet nga 6 fusha për programet e ciklit të</w:t>
      </w:r>
      <w:r>
        <w:rPr>
          <w:rFonts w:ascii="Times New Roman" w:eastAsia="Calibri" w:hAnsi="Times New Roman" w:cs="Times New Roman"/>
          <w:color w:val="000000"/>
          <w:sz w:val="24"/>
          <w:szCs w:val="24"/>
          <w:lang w:val="it-IT"/>
        </w:rPr>
        <w:t xml:space="preserve"> tret</w:t>
      </w:r>
      <w:r w:rsidRPr="00F36BA9">
        <w:rPr>
          <w:rFonts w:ascii="Times New Roman" w:eastAsia="Calibri" w:hAnsi="Times New Roman" w:cs="Times New Roman"/>
          <w:color w:val="000000"/>
          <w:sz w:val="24"/>
          <w:szCs w:val="24"/>
          <w:lang w:val="it-IT"/>
        </w:rPr>
        <w:t xml:space="preserve">ë </w:t>
      </w:r>
      <w:r>
        <w:rPr>
          <w:rFonts w:ascii="Times New Roman" w:eastAsia="Calibri" w:hAnsi="Times New Roman" w:cs="Times New Roman"/>
          <w:color w:val="000000"/>
          <w:sz w:val="24"/>
          <w:szCs w:val="24"/>
          <w:lang w:val="it-IT"/>
        </w:rPr>
        <w:t>Specializime Afatgjata</w:t>
      </w:r>
      <w:r w:rsidRPr="00F36BA9">
        <w:rPr>
          <w:rFonts w:ascii="Times New Roman" w:eastAsia="Calibri" w:hAnsi="Times New Roman" w:cs="Times New Roman"/>
          <w:color w:val="000000"/>
          <w:sz w:val="24"/>
          <w:szCs w:val="24"/>
          <w:lang w:val="it-IT"/>
        </w:rPr>
        <w:t>.</w:t>
      </w:r>
    </w:p>
    <w:p w:rsidR="00FA5847" w:rsidRPr="00F36BA9" w:rsidRDefault="00FA5847" w:rsidP="00FA5847">
      <w:pPr>
        <w:numPr>
          <w:ilvl w:val="0"/>
          <w:numId w:val="19"/>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Çdo fushë duhet të analizojë kërkesat e standardid / kritereve, duke përfshirë pjesën përshkrimore dhe duke dhënë tregues të matshëm, bazuar në evidencat e dosjes së vetvlerësimit.</w:t>
      </w:r>
    </w:p>
    <w:p w:rsidR="00FA5847" w:rsidRPr="00F36BA9" w:rsidRDefault="00FA5847" w:rsidP="00FA5847">
      <w:pPr>
        <w:numPr>
          <w:ilvl w:val="0"/>
          <w:numId w:val="19"/>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Bazuar në këtë analizë GVB duhet të përcaktojë vlerësimin përfundimtar të përmbushjes së standardeve të çdo fushe, dhe fushës në tërësi.</w:t>
      </w:r>
    </w:p>
    <w:p w:rsidR="00976033" w:rsidRPr="00FA5847" w:rsidRDefault="00FA5847" w:rsidP="00FA5847">
      <w:pPr>
        <w:numPr>
          <w:ilvl w:val="0"/>
          <w:numId w:val="19"/>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 xml:space="preserve">Raporti i Vlerësimit të Brendshëm duhet të përmbajë edhe analizën përfundimtare të institucionit duke vënë në dukje pikat e forta dhe të dobëta të tij. </w:t>
      </w:r>
    </w:p>
    <w:p w:rsidR="00976033" w:rsidRDefault="00976033" w:rsidP="00ED503D">
      <w:pPr>
        <w:jc w:val="center"/>
      </w:pPr>
    </w:p>
    <w:p w:rsidR="00976033" w:rsidRDefault="00976033" w:rsidP="00FA5847"/>
    <w:p w:rsidR="0059370E" w:rsidRPr="000E54E3" w:rsidRDefault="0059370E" w:rsidP="0059370E">
      <w:pPr>
        <w:spacing w:after="120" w:line="276" w:lineRule="auto"/>
        <w:jc w:val="center"/>
        <w:rPr>
          <w:rFonts w:ascii="Times New Roman" w:eastAsia="Calibri" w:hAnsi="Times New Roman" w:cs="Times New Roman"/>
          <w:color w:val="FF0000"/>
          <w:sz w:val="32"/>
          <w:szCs w:val="32"/>
        </w:rPr>
      </w:pPr>
      <w:r w:rsidRPr="000E54E3">
        <w:rPr>
          <w:rFonts w:ascii="Times New Roman" w:eastAsia="Calibri" w:hAnsi="Times New Roman" w:cs="Times New Roman"/>
          <w:noProof/>
          <w:color w:val="FF0000"/>
          <w:sz w:val="32"/>
          <w:szCs w:val="32"/>
        </w:rPr>
        <w:lastRenderedPageBreak/>
        <w:t>Logo e Institucionit të arsimit të lartë</w:t>
      </w:r>
    </w:p>
    <w:p w:rsidR="0059370E" w:rsidRPr="000E54E3" w:rsidRDefault="0059370E" w:rsidP="0059370E">
      <w:pPr>
        <w:spacing w:after="120" w:line="276" w:lineRule="auto"/>
        <w:jc w:val="center"/>
        <w:rPr>
          <w:rFonts w:ascii="Times New Roman" w:eastAsia="Calibri" w:hAnsi="Times New Roman" w:cs="Times New Roman"/>
          <w:color w:val="FF0000"/>
          <w:sz w:val="28"/>
          <w:szCs w:val="28"/>
        </w:rPr>
      </w:pPr>
      <w:r w:rsidRPr="000E54E3">
        <w:rPr>
          <w:rFonts w:ascii="Times New Roman" w:eastAsia="Calibri" w:hAnsi="Times New Roman" w:cs="Times New Roman"/>
          <w:color w:val="FF0000"/>
          <w:sz w:val="28"/>
          <w:szCs w:val="28"/>
        </w:rPr>
        <w:t>Emërtimi i institucionit të arsimit të lartë</w:t>
      </w: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1641EA" w:rsidP="00ED503D">
      <w:pPr>
        <w:jc w:val="center"/>
        <w:rPr>
          <w:rFonts w:ascii="Baskerville Old Face" w:hAnsi="Baskerville Old Face"/>
          <w:b/>
          <w:sz w:val="36"/>
          <w:szCs w:val="36"/>
          <w:u w:val="single"/>
        </w:rPr>
      </w:pPr>
      <w:r>
        <w:rPr>
          <w:rFonts w:ascii="Baskerville Old Face" w:hAnsi="Baskerville Old Face"/>
          <w:b/>
          <w:sz w:val="36"/>
          <w:szCs w:val="36"/>
          <w:u w:val="single"/>
        </w:rPr>
        <w:t>RAPORTI I VLERËSIMIT TË BRENDSH</w:t>
      </w:r>
      <w:r w:rsidR="00ED503D" w:rsidRPr="00C16221">
        <w:rPr>
          <w:rFonts w:ascii="Baskerville Old Face" w:hAnsi="Baskerville Old Face"/>
          <w:b/>
          <w:sz w:val="36"/>
          <w:szCs w:val="36"/>
          <w:u w:val="single"/>
        </w:rPr>
        <w:t>ËM</w:t>
      </w:r>
      <w:r w:rsidR="00C15B46">
        <w:rPr>
          <w:rFonts w:ascii="Baskerville Old Face" w:hAnsi="Baskerville Old Face"/>
          <w:b/>
          <w:sz w:val="36"/>
          <w:szCs w:val="36"/>
          <w:u w:val="single"/>
        </w:rPr>
        <w:t xml:space="preserve"> </w:t>
      </w:r>
      <w:bookmarkStart w:id="2" w:name="_GoBack"/>
      <w:bookmarkEnd w:id="2"/>
    </w:p>
    <w:p w:rsidR="00ED503D" w:rsidRPr="00C16221" w:rsidRDefault="00ED503D" w:rsidP="00ED503D">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ED503D" w:rsidRPr="00C16221" w:rsidTr="00243BA4">
        <w:tc>
          <w:tcPr>
            <w:tcW w:w="9243" w:type="dxa"/>
          </w:tcPr>
          <w:p w:rsidR="00ED503D" w:rsidRDefault="00ED503D" w:rsidP="001641EA">
            <w:pPr>
              <w:spacing w:before="120" w:after="220" w:line="240"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 xml:space="preserve">Programi i Studimit </w:t>
            </w:r>
            <w:r w:rsidR="001A733B">
              <w:rPr>
                <w:rFonts w:ascii="Baskerville Old Face" w:eastAsia="Arial Unicode MS" w:hAnsi="Baskerville Old Face" w:cs="Times New Roman"/>
                <w:b/>
                <w:sz w:val="36"/>
                <w:szCs w:val="36"/>
                <w:bdr w:val="nil"/>
                <w:lang w:val="sq-AL" w:eastAsia="sq-AL"/>
              </w:rPr>
              <w:t>të Ciklit të Tre</w:t>
            </w:r>
            <w:r>
              <w:rPr>
                <w:rFonts w:ascii="Baskerville Old Face" w:eastAsia="Arial Unicode MS" w:hAnsi="Baskerville Old Face" w:cs="Times New Roman"/>
                <w:b/>
                <w:sz w:val="36"/>
                <w:szCs w:val="36"/>
                <w:bdr w:val="nil"/>
                <w:lang w:val="sq-AL" w:eastAsia="sq-AL"/>
              </w:rPr>
              <w:t xml:space="preserve">të </w:t>
            </w:r>
            <w:r w:rsidR="001A733B" w:rsidRPr="001A733B">
              <w:rPr>
                <w:rFonts w:ascii="Baskerville Old Face" w:eastAsia="Arial Unicode MS" w:hAnsi="Baskerville Old Face" w:cs="Times New Roman"/>
                <w:b/>
                <w:color w:val="FF0000"/>
                <w:sz w:val="36"/>
                <w:szCs w:val="36"/>
                <w:bdr w:val="nil"/>
                <w:lang w:val="sq-AL" w:eastAsia="sq-AL"/>
              </w:rPr>
              <w:t>Specializime Afatgjata</w:t>
            </w:r>
            <w:r w:rsidR="00C15B46">
              <w:rPr>
                <w:rFonts w:ascii="Baskerville Old Face" w:eastAsia="Arial Unicode MS" w:hAnsi="Baskerville Old Face" w:cs="Times New Roman"/>
                <w:b/>
                <w:color w:val="FF0000"/>
                <w:sz w:val="36"/>
                <w:szCs w:val="36"/>
                <w:bdr w:val="nil"/>
                <w:lang w:val="sq-AL" w:eastAsia="sq-AL"/>
              </w:rPr>
              <w:t xml:space="preserve"> në</w:t>
            </w:r>
            <w:r w:rsidR="00C37C9D" w:rsidRPr="001A733B">
              <w:rPr>
                <w:rFonts w:ascii="Baskerville Old Face" w:eastAsia="Arial Unicode MS" w:hAnsi="Baskerville Old Face" w:cs="Times New Roman"/>
                <w:b/>
                <w:color w:val="FF0000"/>
                <w:sz w:val="36"/>
                <w:szCs w:val="36"/>
                <w:bdr w:val="nil"/>
                <w:lang w:val="sq-AL" w:eastAsia="sq-AL"/>
              </w:rPr>
              <w:t xml:space="preserve"> </w:t>
            </w:r>
            <w:r w:rsidRPr="00C16221">
              <w:rPr>
                <w:rFonts w:ascii="Baskerville Old Face" w:eastAsia="Arial Unicode MS" w:hAnsi="Baskerville Old Face" w:cs="Times New Roman"/>
                <w:b/>
                <w:sz w:val="36"/>
                <w:szCs w:val="36"/>
                <w:bdr w:val="nil"/>
                <w:lang w:val="sq-AL" w:eastAsia="sq-AL"/>
              </w:rPr>
              <w:t>“</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1641EA" w:rsidRPr="001641EA" w:rsidRDefault="001641EA" w:rsidP="001641EA">
            <w:pPr>
              <w:spacing w:before="120" w:after="220" w:line="240" w:lineRule="auto"/>
              <w:jc w:val="center"/>
              <w:rPr>
                <w:rFonts w:ascii="Baskerville Old Face" w:eastAsia="Arial Unicode MS" w:hAnsi="Baskerville Old Face" w:cs="Times New Roman"/>
                <w:b/>
                <w:sz w:val="36"/>
                <w:szCs w:val="36"/>
                <w:bdr w:val="nil"/>
                <w:lang w:val="sq-AL" w:eastAsia="sq-AL"/>
              </w:rPr>
            </w:pPr>
          </w:p>
        </w:tc>
      </w:tr>
    </w:tbl>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sidRPr="00C16221">
        <w:rPr>
          <w:rFonts w:ascii="Baskerville Old Face" w:eastAsia="Arial Unicode MS" w:hAnsi="Baskerville Old Face" w:cs="Times New Roman"/>
          <w:sz w:val="28"/>
          <w:szCs w:val="28"/>
          <w:u w:val="single"/>
          <w:bdr w:val="nil"/>
          <w:lang w:val="sq-AL" w:eastAsia="sq-AL"/>
        </w:rPr>
        <w:t xml:space="preserve">Grupi i Vlerësimit </w:t>
      </w:r>
      <w:r w:rsidR="001641EA">
        <w:rPr>
          <w:rFonts w:ascii="Baskerville Old Face" w:eastAsia="Arial Unicode MS" w:hAnsi="Baskerville Old Face" w:cs="Times New Roman"/>
          <w:sz w:val="28"/>
          <w:szCs w:val="28"/>
          <w:u w:val="single"/>
          <w:bdr w:val="nil"/>
          <w:lang w:val="sq-AL" w:eastAsia="sq-AL"/>
        </w:rPr>
        <w:t>të Brendsh</w:t>
      </w:r>
      <w:r w:rsidRPr="00C16221">
        <w:rPr>
          <w:rFonts w:ascii="Baskerville Old Face" w:eastAsia="Arial Unicode MS" w:hAnsi="Baskerville Old Face" w:cs="Times New Roman"/>
          <w:sz w:val="28"/>
          <w:szCs w:val="28"/>
          <w:u w:val="single"/>
          <w:bdr w:val="nil"/>
          <w:lang w:val="sq-AL" w:eastAsia="sq-AL"/>
        </w:rPr>
        <w:t>ëm:</w:t>
      </w: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1641EA" w:rsidP="00ED503D">
      <w:pPr>
        <w:pStyle w:val="ListParagraph"/>
        <w:numPr>
          <w:ilvl w:val="0"/>
          <w:numId w:val="16"/>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641EA" w:rsidRDefault="001641EA" w:rsidP="00ED503D">
      <w:pPr>
        <w:pStyle w:val="ListParagraph"/>
        <w:numPr>
          <w:ilvl w:val="0"/>
          <w:numId w:val="16"/>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641EA" w:rsidRDefault="001641EA" w:rsidP="00ED503D">
      <w:pPr>
        <w:pStyle w:val="ListParagraph"/>
        <w:numPr>
          <w:ilvl w:val="0"/>
          <w:numId w:val="16"/>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641EA" w:rsidRDefault="001641EA" w:rsidP="00ED503D">
      <w:pPr>
        <w:pStyle w:val="ListParagraph"/>
        <w:numPr>
          <w:ilvl w:val="0"/>
          <w:numId w:val="16"/>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641EA" w:rsidRPr="001641EA" w:rsidRDefault="001641EA" w:rsidP="00ED503D">
      <w:pPr>
        <w:pStyle w:val="ListParagraph"/>
        <w:numPr>
          <w:ilvl w:val="0"/>
          <w:numId w:val="16"/>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C15B46" w:rsidRDefault="00C15B46" w:rsidP="00A22051">
      <w:pPr>
        <w:spacing w:after="0" w:line="276" w:lineRule="auto"/>
        <w:jc w:val="center"/>
        <w:rPr>
          <w:rFonts w:ascii="Baskerville Old Face" w:hAnsi="Baskerville Old Face"/>
          <w:sz w:val="28"/>
          <w:szCs w:val="28"/>
        </w:rPr>
      </w:pPr>
    </w:p>
    <w:p w:rsidR="00C15B46" w:rsidRDefault="00C15B46" w:rsidP="00A22051">
      <w:pPr>
        <w:spacing w:after="0" w:line="276" w:lineRule="auto"/>
        <w:jc w:val="center"/>
        <w:rPr>
          <w:rFonts w:ascii="Baskerville Old Face" w:hAnsi="Baskerville Old Face"/>
          <w:sz w:val="28"/>
          <w:szCs w:val="28"/>
        </w:rPr>
      </w:pPr>
    </w:p>
    <w:p w:rsidR="00C15B46" w:rsidRDefault="00C15B46" w:rsidP="00A22051">
      <w:pPr>
        <w:spacing w:after="0" w:line="276" w:lineRule="auto"/>
        <w:jc w:val="center"/>
        <w:rPr>
          <w:rFonts w:ascii="Baskerville Old Face" w:hAnsi="Baskerville Old Face"/>
          <w:sz w:val="28"/>
          <w:szCs w:val="28"/>
        </w:rPr>
      </w:pPr>
    </w:p>
    <w:p w:rsidR="00C15B46" w:rsidRDefault="00C15B46" w:rsidP="00A22051">
      <w:pPr>
        <w:spacing w:after="0" w:line="276" w:lineRule="auto"/>
        <w:jc w:val="center"/>
        <w:rPr>
          <w:rFonts w:ascii="Baskerville Old Face" w:hAnsi="Baskerville Old Face"/>
          <w:sz w:val="28"/>
          <w:szCs w:val="28"/>
        </w:rPr>
      </w:pPr>
    </w:p>
    <w:p w:rsidR="00C15B46" w:rsidRDefault="00C15B46" w:rsidP="00A22051">
      <w:pPr>
        <w:spacing w:after="0" w:line="276" w:lineRule="auto"/>
        <w:jc w:val="center"/>
        <w:rPr>
          <w:rFonts w:ascii="Baskerville Old Face" w:hAnsi="Baskerville Old Face"/>
          <w:sz w:val="28"/>
          <w:szCs w:val="28"/>
        </w:rPr>
      </w:pPr>
    </w:p>
    <w:p w:rsidR="00A22051" w:rsidRDefault="00A22051" w:rsidP="00A22051">
      <w:pPr>
        <w:spacing w:after="0" w:line="276" w:lineRule="auto"/>
        <w:jc w:val="center"/>
        <w:rPr>
          <w:rFonts w:ascii="Baskerville Old Face" w:hAnsi="Baskerville Old Face"/>
          <w:sz w:val="28"/>
          <w:szCs w:val="28"/>
        </w:rPr>
      </w:pPr>
      <w:r>
        <w:rPr>
          <w:rFonts w:ascii="Baskerville Old Face" w:hAnsi="Baskerville Old Face"/>
          <w:sz w:val="28"/>
          <w:szCs w:val="28"/>
        </w:rPr>
        <w:t>Muaji/Viti</w:t>
      </w:r>
    </w:p>
    <w:p w:rsidR="00A22051" w:rsidRDefault="00A22051" w:rsidP="00A22051">
      <w:pPr>
        <w:spacing w:after="0" w:line="276" w:lineRule="auto"/>
        <w:jc w:val="center"/>
        <w:rPr>
          <w:rFonts w:ascii="Baskerville Old Face" w:hAnsi="Baskerville Old Face"/>
          <w:sz w:val="28"/>
          <w:szCs w:val="28"/>
        </w:rPr>
      </w:pPr>
    </w:p>
    <w:p w:rsidR="00FE6EAD" w:rsidRDefault="00FE6EAD" w:rsidP="004A435D">
      <w:pPr>
        <w:rPr>
          <w:rFonts w:ascii="Times New Roman" w:hAnsi="Times New Roman" w:cs="Times New Roman"/>
          <w:b/>
          <w:sz w:val="28"/>
          <w:szCs w:val="28"/>
        </w:rPr>
      </w:pPr>
    </w:p>
    <w:p w:rsidR="0059370E" w:rsidRDefault="0059370E" w:rsidP="004A435D">
      <w:pPr>
        <w:rPr>
          <w:rFonts w:ascii="Times New Roman" w:hAnsi="Times New Roman" w:cs="Times New Roman"/>
          <w:b/>
          <w:sz w:val="28"/>
          <w:szCs w:val="28"/>
        </w:rPr>
      </w:pPr>
    </w:p>
    <w:p w:rsidR="006A631F" w:rsidRPr="00C7643E" w:rsidRDefault="00C15B46" w:rsidP="006A631F">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t>PËRMBLEDHJE E TË</w:t>
      </w:r>
      <w:r w:rsidR="006A631F" w:rsidRPr="00C7643E">
        <w:rPr>
          <w:rFonts w:ascii="Times New Roman" w:eastAsia="Times New Roman" w:hAnsi="Times New Roman"/>
          <w:b/>
          <w:sz w:val="28"/>
          <w:szCs w:val="28"/>
        </w:rPr>
        <w:t xml:space="preserve"> DHËNAVE PËR PROGRAMIN </w:t>
      </w:r>
      <w:r w:rsidR="007B22D4">
        <w:rPr>
          <w:rFonts w:ascii="Times New Roman" w:eastAsia="Times New Roman" w:hAnsi="Times New Roman"/>
          <w:b/>
          <w:sz w:val="28"/>
          <w:szCs w:val="28"/>
        </w:rPr>
        <w:t>NË PROCES TË VLERËSIMIT TË BRENDSH</w:t>
      </w:r>
      <w:r w:rsidR="006A631F" w:rsidRPr="00C7643E">
        <w:rPr>
          <w:rFonts w:ascii="Times New Roman" w:eastAsia="Times New Roman" w:hAnsi="Times New Roman"/>
          <w:b/>
          <w:sz w:val="28"/>
          <w:szCs w:val="28"/>
        </w:rPr>
        <w:t>ËM</w:t>
      </w:r>
    </w:p>
    <w:p w:rsidR="006A631F" w:rsidRDefault="006A631F" w:rsidP="006A631F">
      <w:pPr>
        <w:spacing w:line="276" w:lineRule="auto"/>
        <w:jc w:val="both"/>
        <w:rPr>
          <w:rFonts w:ascii="Times New Roman" w:hAnsi="Times New Roman" w:cs="Times New Roman"/>
          <w:b/>
          <w:sz w:val="28"/>
          <w:szCs w:val="28"/>
        </w:rPr>
      </w:pPr>
      <w:r w:rsidRPr="00C7643E">
        <w:rPr>
          <w:rFonts w:ascii="Times New Roman" w:eastAsia="Times New Roman" w:hAnsi="Times New Roman"/>
          <w:b/>
          <w:sz w:val="28"/>
          <w:szCs w:val="28"/>
        </w:rPr>
        <w:t>Përshkrim përmbledhës; (200 -400 fjalë)</w:t>
      </w:r>
    </w:p>
    <w:p w:rsidR="00447265" w:rsidRDefault="00447265" w:rsidP="00C1352C">
      <w:pPr>
        <w:jc w:val="both"/>
        <w:rPr>
          <w:rFonts w:ascii="Times New Roman" w:hAnsi="Times New Roman" w:cs="Times New Roman"/>
          <w:b/>
          <w:sz w:val="28"/>
          <w:szCs w:val="28"/>
        </w:rPr>
      </w:pPr>
    </w:p>
    <w:p w:rsidR="006A631F" w:rsidRPr="001649CA" w:rsidRDefault="00C1352C" w:rsidP="006A631F">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6A631F" w:rsidRPr="001649CA">
        <w:rPr>
          <w:rFonts w:ascii="Times New Roman" w:hAnsi="Times New Roman" w:cs="Times New Roman"/>
          <w:b/>
          <w:sz w:val="28"/>
          <w:szCs w:val="28"/>
        </w:rPr>
        <w:t>PËRSHKRIMI I</w:t>
      </w:r>
      <w:r w:rsidR="007B22D4">
        <w:rPr>
          <w:rFonts w:ascii="Times New Roman" w:hAnsi="Times New Roman" w:cs="Times New Roman"/>
          <w:b/>
          <w:sz w:val="28"/>
          <w:szCs w:val="28"/>
        </w:rPr>
        <w:t xml:space="preserve"> PROCESIT TË VLERËSIMIT TË BRENDSH</w:t>
      </w:r>
      <w:r w:rsidR="006A631F" w:rsidRPr="001649CA">
        <w:rPr>
          <w:rFonts w:ascii="Times New Roman" w:hAnsi="Times New Roman" w:cs="Times New Roman"/>
          <w:b/>
          <w:sz w:val="28"/>
          <w:szCs w:val="28"/>
        </w:rPr>
        <w:t xml:space="preserve">ËM; </w:t>
      </w:r>
    </w:p>
    <w:p w:rsidR="006A631F" w:rsidRDefault="006A631F" w:rsidP="006A631F">
      <w:pPr>
        <w:spacing w:line="276" w:lineRule="auto"/>
        <w:jc w:val="both"/>
        <w:rPr>
          <w:rFonts w:ascii="Times New Roman" w:hAnsi="Times New Roman" w:cs="Times New Roman"/>
          <w:b/>
          <w:sz w:val="28"/>
          <w:szCs w:val="28"/>
        </w:rPr>
      </w:pPr>
      <w:r w:rsidRPr="001649CA">
        <w:rPr>
          <w:rFonts w:ascii="Times New Roman" w:hAnsi="Times New Roman" w:cs="Times New Roman"/>
          <w:b/>
          <w:sz w:val="28"/>
          <w:szCs w:val="28"/>
        </w:rPr>
        <w:t>Përshkrim përmbledhës; (200-400 fjalë)</w:t>
      </w:r>
    </w:p>
    <w:p w:rsidR="00C1352C" w:rsidRDefault="00C1352C" w:rsidP="00FB3CB9">
      <w:pPr>
        <w:rPr>
          <w:rFonts w:ascii="Times New Roman" w:hAnsi="Times New Roman" w:cs="Times New Roman"/>
          <w:b/>
          <w:sz w:val="28"/>
          <w:szCs w:val="28"/>
        </w:rPr>
      </w:pP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C1352C" w:rsidRDefault="00C1352C" w:rsidP="002A5010">
      <w:pPr>
        <w:spacing w:line="276" w:lineRule="auto"/>
        <w:jc w:val="both"/>
        <w:rPr>
          <w:rFonts w:ascii="Times New Roman" w:hAnsi="Times New Roman" w:cs="Times New Roman"/>
          <w:b/>
          <w:sz w:val="28"/>
          <w:szCs w:val="28"/>
          <w:u w:val="single"/>
        </w:rPr>
      </w:pPr>
      <w:r w:rsidRPr="00FF0ECE">
        <w:rPr>
          <w:rFonts w:ascii="Times New Roman" w:hAnsi="Times New Roman" w:cs="Times New Roman"/>
          <w:b/>
          <w:sz w:val="28"/>
          <w:szCs w:val="28"/>
          <w:u w:val="single"/>
        </w:rPr>
        <w:t>Vler</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simi </w:t>
      </w:r>
      <w:r w:rsidR="006210CF">
        <w:rPr>
          <w:rFonts w:ascii="Times New Roman" w:hAnsi="Times New Roman" w:cs="Times New Roman"/>
          <w:b/>
          <w:sz w:val="28"/>
          <w:szCs w:val="28"/>
          <w:u w:val="single"/>
        </w:rPr>
        <w:t>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Studimit </w:t>
      </w:r>
      <w:r>
        <w:rPr>
          <w:rFonts w:ascii="Times New Roman" w:hAnsi="Times New Roman" w:cs="Times New Roman"/>
          <w:b/>
          <w:sz w:val="28"/>
          <w:szCs w:val="28"/>
          <w:u w:val="single"/>
        </w:rPr>
        <w:t xml:space="preserve">të Ciklit të </w:t>
      </w:r>
      <w:r w:rsidR="00165982">
        <w:rPr>
          <w:rFonts w:ascii="Times New Roman" w:hAnsi="Times New Roman" w:cs="Times New Roman"/>
          <w:b/>
          <w:sz w:val="28"/>
          <w:szCs w:val="28"/>
          <w:u w:val="single"/>
        </w:rPr>
        <w:t>Tre</w:t>
      </w:r>
      <w:r w:rsidR="00883B80">
        <w:rPr>
          <w:rFonts w:ascii="Times New Roman" w:hAnsi="Times New Roman" w:cs="Times New Roman"/>
          <w:b/>
          <w:sz w:val="28"/>
          <w:szCs w:val="28"/>
          <w:u w:val="single"/>
        </w:rPr>
        <w:t>t</w:t>
      </w:r>
      <w:r>
        <w:rPr>
          <w:rFonts w:ascii="Times New Roman" w:hAnsi="Times New Roman" w:cs="Times New Roman"/>
          <w:b/>
          <w:sz w:val="28"/>
          <w:szCs w:val="28"/>
          <w:u w:val="single"/>
        </w:rPr>
        <w:t xml:space="preserve">ë </w:t>
      </w:r>
      <w:r w:rsidR="00165982">
        <w:rPr>
          <w:rFonts w:ascii="Times New Roman" w:hAnsi="Times New Roman" w:cs="Times New Roman"/>
          <w:b/>
          <w:color w:val="FF0000"/>
          <w:sz w:val="28"/>
          <w:szCs w:val="28"/>
          <w:u w:val="single"/>
        </w:rPr>
        <w:t xml:space="preserve">Specializime Afatgjata </w:t>
      </w:r>
      <w:r w:rsidR="002A5010" w:rsidRPr="002A5010">
        <w:rPr>
          <w:rFonts w:ascii="Times New Roman" w:hAnsi="Times New Roman" w:cs="Times New Roman"/>
          <w:b/>
          <w:sz w:val="28"/>
          <w:szCs w:val="28"/>
          <w:u w:val="single"/>
        </w:rPr>
        <w:t>në “</w:t>
      </w:r>
      <w:r w:rsidR="002A5010" w:rsidRPr="002A5010">
        <w:rPr>
          <w:rFonts w:ascii="Times New Roman" w:hAnsi="Times New Roman" w:cs="Times New Roman"/>
          <w:b/>
          <w:color w:val="FF0000"/>
          <w:sz w:val="28"/>
          <w:szCs w:val="28"/>
          <w:u w:val="single"/>
        </w:rPr>
        <w:t>…</w:t>
      </w:r>
      <w:r w:rsidR="002A5010"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6C53CF"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6C53CF">
        <w:rPr>
          <w:rFonts w:ascii="Times New Roman" w:eastAsia="Times New Roman" w:hAnsi="Times New Roman" w:cs="Times New Roman"/>
          <w:b/>
          <w:bCs/>
          <w:sz w:val="24"/>
          <w:szCs w:val="24"/>
          <w:lang w:val="sq-AL"/>
        </w:rPr>
        <w:t>KUADRI I PËRGJITHSHËM I PROGRAMIT SPECIALIZIM AFATGJATË</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Standardi I.1 </w:t>
            </w:r>
          </w:p>
          <w:p w:rsidR="00C1352C" w:rsidRPr="001C0E87" w:rsidRDefault="006C53CF" w:rsidP="00243BA4">
            <w:pPr>
              <w:spacing w:line="276" w:lineRule="auto"/>
              <w:jc w:val="both"/>
              <w:rPr>
                <w:rFonts w:ascii="Times New Roman" w:hAnsi="Times New Roman" w:cs="Times New Roman"/>
                <w:b/>
              </w:rPr>
            </w:pPr>
            <w:r w:rsidRPr="006C53CF">
              <w:rPr>
                <w:rFonts w:ascii="Times New Roman" w:hAnsi="Times New Roman" w:cs="Times New Roman"/>
                <w:b/>
                <w:lang w:val="sq-AL"/>
              </w:rPr>
              <w:t>Programi i studimit i ciklit të tretë Specializim afatgjatë në fushën e mjekësisë ofrohet nga institucione të arsimit të lartë që përmbushin kriteret ligjore në fuqi në Republikën e Shqipërisë</w:t>
            </w:r>
            <w:r>
              <w:rPr>
                <w:rFonts w:ascii="Times New Roman" w:hAnsi="Times New Roman" w:cs="Times New Roman"/>
                <w:b/>
                <w:lang w:val="sq-AL"/>
              </w:rPr>
              <w:t>.</w:t>
            </w:r>
          </w:p>
        </w:tc>
      </w:tr>
      <w:tr w:rsidR="00C1352C" w:rsidRPr="001C0E87" w:rsidTr="003847F8">
        <w:trPr>
          <w:trHeight w:val="350"/>
        </w:trPr>
        <w:tc>
          <w:tcPr>
            <w:tcW w:w="3072"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48" w:type="dxa"/>
            <w:gridSpan w:val="4"/>
            <w:shd w:val="clear" w:color="auto" w:fill="C5E0B3" w:themeFill="accent6" w:themeFillTint="66"/>
          </w:tcPr>
          <w:p w:rsidR="00C1352C" w:rsidRPr="001C0E87" w:rsidRDefault="00C1352C" w:rsidP="005972BF">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BF46F6" w:rsidRPr="001C0E87" w:rsidTr="001C0E87">
        <w:tc>
          <w:tcPr>
            <w:tcW w:w="3072" w:type="dxa"/>
          </w:tcPr>
          <w:p w:rsidR="00BF46F6" w:rsidRPr="00803C23" w:rsidRDefault="006C53CF" w:rsidP="00C15B46">
            <w:pPr>
              <w:spacing w:line="276" w:lineRule="auto"/>
              <w:rPr>
                <w:rFonts w:ascii="Times New Roman" w:hAnsi="Times New Roman" w:cs="Times New Roman"/>
                <w:sz w:val="20"/>
                <w:szCs w:val="20"/>
              </w:rPr>
            </w:pPr>
            <w:r w:rsidRPr="00803C23">
              <w:rPr>
                <w:rFonts w:ascii="Times New Roman" w:hAnsi="Times New Roman" w:cs="Times New Roman"/>
                <w:b/>
                <w:sz w:val="20"/>
                <w:szCs w:val="20"/>
              </w:rPr>
              <w:t>Kriteri 1:</w:t>
            </w:r>
            <w:r w:rsidRPr="00803C23">
              <w:rPr>
                <w:rFonts w:ascii="Times New Roman" w:hAnsi="Times New Roman" w:cs="Times New Roman"/>
                <w:sz w:val="20"/>
                <w:szCs w:val="20"/>
              </w:rPr>
              <w:t xml:space="preserve">  Programi </w:t>
            </w:r>
            <w:bookmarkStart w:id="3" w:name="_Hlk89351588"/>
            <w:r w:rsidRPr="00803C23">
              <w:rPr>
                <w:rFonts w:ascii="Times New Roman" w:hAnsi="Times New Roman" w:cs="Times New Roman"/>
                <w:sz w:val="20"/>
                <w:szCs w:val="20"/>
              </w:rPr>
              <w:t xml:space="preserve">i specializimit afatgjatë </w:t>
            </w:r>
            <w:bookmarkEnd w:id="3"/>
            <w:r w:rsidRPr="00803C23">
              <w:rPr>
                <w:rFonts w:ascii="Times New Roman" w:hAnsi="Times New Roman" w:cs="Times New Roman"/>
                <w:sz w:val="20"/>
                <w:szCs w:val="20"/>
              </w:rPr>
              <w:t>ofrohet nga institucione me statusin universitet, i akredituar në Republikën e Shqipërisë</w:t>
            </w:r>
            <w:r w:rsidR="00803C23" w:rsidRPr="00803C23">
              <w:rPr>
                <w:rFonts w:ascii="Times New Roman" w:hAnsi="Times New Roman" w:cs="Times New Roman"/>
                <w:sz w:val="20"/>
                <w:szCs w:val="20"/>
              </w:rPr>
              <w:t>.</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803C23" w:rsidRDefault="006C53CF" w:rsidP="00C15B46">
            <w:pPr>
              <w:spacing w:line="276" w:lineRule="auto"/>
              <w:rPr>
                <w:rFonts w:ascii="Times New Roman" w:hAnsi="Times New Roman" w:cs="Times New Roman"/>
                <w:sz w:val="20"/>
                <w:szCs w:val="20"/>
              </w:rPr>
            </w:pPr>
            <w:r w:rsidRPr="00803C23">
              <w:rPr>
                <w:rFonts w:ascii="Times New Roman" w:hAnsi="Times New Roman" w:cs="Times New Roman"/>
                <w:b/>
                <w:sz w:val="20"/>
                <w:szCs w:val="20"/>
              </w:rPr>
              <w:t>Kriteri 2:</w:t>
            </w:r>
            <w:r w:rsidRPr="00803C23">
              <w:rPr>
                <w:rFonts w:ascii="Times New Roman" w:hAnsi="Times New Roman" w:cs="Times New Roman"/>
                <w:sz w:val="20"/>
                <w:szCs w:val="20"/>
              </w:rPr>
              <w:t xml:space="preserve"> Programi i specializimit afatgjatë që ofrohet në bashkëpunim me institucione të tjera të arsimit të lartë, brenda ose jashtë vendit të jenë të akredituara në vendin e origjinës</w:t>
            </w:r>
            <w:r w:rsidR="00803C23" w:rsidRPr="00803C23">
              <w:rPr>
                <w:rFonts w:ascii="Times New Roman" w:hAnsi="Times New Roman" w:cs="Times New Roman"/>
                <w:sz w:val="20"/>
                <w:szCs w:val="20"/>
              </w:rPr>
              <w:t>.</w:t>
            </w:r>
            <w:r w:rsidRPr="00803C23">
              <w:rPr>
                <w:rFonts w:ascii="Times New Roman" w:hAnsi="Times New Roman" w:cs="Times New Roman"/>
                <w:sz w:val="20"/>
                <w:szCs w:val="20"/>
              </w:rPr>
              <w:t xml:space="preserve"> </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803C23" w:rsidRDefault="006C53CF" w:rsidP="00C15B46">
            <w:pPr>
              <w:spacing w:line="276" w:lineRule="auto"/>
              <w:rPr>
                <w:rFonts w:ascii="Times New Roman" w:hAnsi="Times New Roman" w:cs="Times New Roman"/>
                <w:sz w:val="20"/>
                <w:szCs w:val="20"/>
              </w:rPr>
            </w:pPr>
            <w:r w:rsidRPr="00803C23">
              <w:rPr>
                <w:rFonts w:ascii="Times New Roman" w:hAnsi="Times New Roman" w:cs="Times New Roman"/>
                <w:b/>
                <w:sz w:val="20"/>
                <w:szCs w:val="20"/>
              </w:rPr>
              <w:t>Kriteri 3:</w:t>
            </w:r>
            <w:r w:rsidRPr="00803C23">
              <w:rPr>
                <w:rFonts w:ascii="Times New Roman" w:hAnsi="Times New Roman" w:cs="Times New Roman"/>
                <w:sz w:val="20"/>
                <w:szCs w:val="20"/>
              </w:rPr>
              <w:t xml:space="preserve"> Programi i specializimit afatgjatë hartohet nga njësitë bazë përgjegjëse/shërbimet pergjegjese te institucionit nëpërmjet procedurave të brendshme transparente dhe miratohet në përputhje me statutin, rregulloren dhe aktet e tjera organizative të institucionit</w:t>
            </w:r>
            <w:r w:rsidR="00803C23" w:rsidRPr="00803C23">
              <w:rPr>
                <w:rFonts w:ascii="Times New Roman" w:hAnsi="Times New Roman" w:cs="Times New Roman"/>
                <w:sz w:val="20"/>
                <w:szCs w:val="20"/>
              </w:rPr>
              <w:t>.</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803C23" w:rsidRPr="00803C23" w:rsidRDefault="00803C23" w:rsidP="00803C23">
            <w:pPr>
              <w:spacing w:line="276" w:lineRule="auto"/>
              <w:rPr>
                <w:rFonts w:ascii="Times New Roman" w:hAnsi="Times New Roman" w:cs="Times New Roman"/>
                <w:sz w:val="20"/>
                <w:szCs w:val="20"/>
              </w:rPr>
            </w:pPr>
            <w:r w:rsidRPr="00803C23">
              <w:rPr>
                <w:rFonts w:ascii="Times New Roman" w:hAnsi="Times New Roman" w:cs="Times New Roman"/>
                <w:b/>
                <w:sz w:val="20"/>
                <w:szCs w:val="20"/>
              </w:rPr>
              <w:t>Kriteri 4:</w:t>
            </w:r>
            <w:r w:rsidRPr="00803C23">
              <w:rPr>
                <w:rFonts w:ascii="Times New Roman" w:hAnsi="Times New Roman" w:cs="Times New Roman"/>
                <w:sz w:val="20"/>
                <w:szCs w:val="20"/>
              </w:rPr>
              <w:t xml:space="preserve"> Programi i specializimit afatgjatë përfshin formim teorik e praktik në fushën e specialitetit, i cili realizohet njëkohësisht në një universitet të akredituar, dhe në një institucion spitalor ose në një institucion shëndetësor të akredituar nga institucioni shtetëror përgjegjës për akreditimin e institucioneve shëndetësore.</w:t>
            </w:r>
          </w:p>
          <w:p w:rsidR="00BF46F6" w:rsidRPr="00803C23" w:rsidRDefault="00803C23" w:rsidP="00C15B46">
            <w:pPr>
              <w:spacing w:line="276" w:lineRule="auto"/>
              <w:rPr>
                <w:rFonts w:ascii="Times New Roman" w:hAnsi="Times New Roman" w:cs="Times New Roman"/>
                <w:sz w:val="20"/>
                <w:szCs w:val="20"/>
              </w:rPr>
            </w:pPr>
            <w:r w:rsidRPr="00803C23">
              <w:rPr>
                <w:rFonts w:ascii="Times New Roman" w:hAnsi="Times New Roman" w:cs="Times New Roman"/>
                <w:sz w:val="20"/>
                <w:szCs w:val="20"/>
              </w:rPr>
              <w:t>Institucionet i arsimit të lartë duhet të kenë zhvilluar dhe akredituar/riakredituar programet e integruara të ciklit të dytë në fushën e mjekësisë në momentin e ofrimit të një programi të ciklit të tretë.</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803C23" w:rsidRPr="001C0E87" w:rsidTr="001C0E87">
        <w:tc>
          <w:tcPr>
            <w:tcW w:w="3072" w:type="dxa"/>
          </w:tcPr>
          <w:p w:rsidR="00803C23" w:rsidRPr="00803C23" w:rsidRDefault="00803C23" w:rsidP="00803C23">
            <w:pPr>
              <w:spacing w:line="276" w:lineRule="auto"/>
              <w:rPr>
                <w:rFonts w:ascii="Times New Roman" w:hAnsi="Times New Roman" w:cs="Times New Roman"/>
                <w:sz w:val="20"/>
                <w:szCs w:val="20"/>
              </w:rPr>
            </w:pPr>
            <w:r w:rsidRPr="00803C23">
              <w:rPr>
                <w:rFonts w:ascii="Times New Roman" w:hAnsi="Times New Roman" w:cs="Times New Roman"/>
                <w:b/>
                <w:sz w:val="20"/>
                <w:szCs w:val="20"/>
              </w:rPr>
              <w:t>Kriteri 5:</w:t>
            </w:r>
            <w:r w:rsidRPr="00803C23">
              <w:rPr>
                <w:rFonts w:ascii="Times New Roman" w:hAnsi="Times New Roman" w:cs="Times New Roman"/>
                <w:sz w:val="20"/>
                <w:szCs w:val="20"/>
              </w:rPr>
              <w:t xml:space="preserve"> Programi  i  specializimit  afatgjatë  kryhet  me  kohë  të  plotë  dhe  përfshin pjesëmarrjen në veprimtaritë mjekësore të departamenteve/shërbimeve ku ofrohet  formimi,   në  përputhje   me  procedurat  e  përcaktuara  dhe  nën mbikqyrjen e autoritetit apo entit përgjegjës.</w:t>
            </w:r>
          </w:p>
        </w:tc>
        <w:tc>
          <w:tcPr>
            <w:tcW w:w="6648" w:type="dxa"/>
            <w:gridSpan w:val="4"/>
          </w:tcPr>
          <w:p w:rsidR="00803C23" w:rsidRPr="001C0E87" w:rsidRDefault="00803C23" w:rsidP="00243BA4">
            <w:pPr>
              <w:spacing w:line="276" w:lineRule="auto"/>
              <w:jc w:val="both"/>
              <w:rPr>
                <w:rFonts w:ascii="Times New Roman" w:hAnsi="Times New Roman" w:cs="Times New Roman"/>
                <w:b/>
              </w:rPr>
            </w:pPr>
          </w:p>
        </w:tc>
      </w:tr>
      <w:tr w:rsidR="00C1352C" w:rsidRPr="001C0E87" w:rsidTr="001C0E87">
        <w:trPr>
          <w:trHeight w:val="315"/>
        </w:trPr>
        <w:tc>
          <w:tcPr>
            <w:tcW w:w="3072"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18"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C15B46">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 Pro W3" w:hAnsi="Times New Roman" w:cs="Times New Roman"/>
                <w:b/>
                <w:color w:val="000000"/>
                <w:lang w:val="sq-AL"/>
              </w:rPr>
            </w:pPr>
            <w:r w:rsidRPr="001C0E87">
              <w:rPr>
                <w:rFonts w:ascii="Times New Roman" w:eastAsia="?????? Pro W3" w:hAnsi="Times New Roman" w:cs="Times New Roman"/>
                <w:b/>
                <w:color w:val="000000"/>
                <w:lang w:val="sq-AL"/>
              </w:rPr>
              <w:t>Standardi I.2</w:t>
            </w:r>
            <w:r w:rsidRPr="001C0E87">
              <w:rPr>
                <w:rFonts w:ascii="Times New Roman" w:eastAsia="?????? Pro W3" w:hAnsi="Times New Roman" w:cs="Times New Roman"/>
                <w:b/>
                <w:color w:val="000000"/>
                <w:lang w:val="sq-AL"/>
              </w:rPr>
              <w:tab/>
            </w:r>
            <w:r w:rsidRPr="001C0E87">
              <w:rPr>
                <w:rFonts w:ascii="Times New Roman" w:eastAsia="?????? Pro W3" w:hAnsi="Times New Roman" w:cs="Times New Roman"/>
                <w:b/>
                <w:color w:val="000000"/>
                <w:lang w:val="sq-AL"/>
              </w:rPr>
              <w:tab/>
            </w:r>
          </w:p>
          <w:p w:rsidR="00C1352C" w:rsidRPr="001C0E87" w:rsidRDefault="00803C23" w:rsidP="00243BA4">
            <w:pPr>
              <w:spacing w:line="276" w:lineRule="auto"/>
              <w:jc w:val="both"/>
              <w:rPr>
                <w:rFonts w:ascii="Times New Roman" w:hAnsi="Times New Roman" w:cs="Times New Roman"/>
                <w:b/>
              </w:rPr>
            </w:pPr>
            <w:r w:rsidRPr="00803C23">
              <w:rPr>
                <w:rFonts w:ascii="Times New Roman" w:hAnsi="Times New Roman" w:cs="Times New Roman"/>
                <w:b/>
                <w:lang w:val="sq-AL"/>
              </w:rPr>
              <w:t>Programi i studimit specializim afatgjatë  në  mjekësi  ofrohet në përputhje me strategjinë e zhvillimit të institucionit.</w:t>
            </w:r>
          </w:p>
        </w:tc>
      </w:tr>
      <w:tr w:rsidR="00C1352C" w:rsidRPr="001C0E87" w:rsidTr="003847F8">
        <w:trPr>
          <w:trHeight w:val="386"/>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5972BF">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BF46F6" w:rsidRPr="001C0E87" w:rsidTr="003847F8">
        <w:tc>
          <w:tcPr>
            <w:tcW w:w="3060" w:type="dxa"/>
          </w:tcPr>
          <w:p w:rsidR="00BF46F6" w:rsidRPr="007929C8" w:rsidRDefault="00803C23" w:rsidP="00C15B46">
            <w:pPr>
              <w:spacing w:line="276" w:lineRule="auto"/>
              <w:rPr>
                <w:rFonts w:ascii="Times New Roman" w:hAnsi="Times New Roman" w:cs="Times New Roman"/>
                <w:sz w:val="20"/>
                <w:szCs w:val="20"/>
              </w:rPr>
            </w:pPr>
            <w:r w:rsidRPr="007929C8">
              <w:rPr>
                <w:rFonts w:ascii="Times New Roman" w:hAnsi="Times New Roman" w:cs="Times New Roman"/>
                <w:b/>
                <w:sz w:val="20"/>
                <w:szCs w:val="20"/>
              </w:rPr>
              <w:t>Kriteri 1:</w:t>
            </w:r>
            <w:r w:rsidRPr="007929C8">
              <w:rPr>
                <w:rFonts w:ascii="Times New Roman" w:hAnsi="Times New Roman" w:cs="Times New Roman"/>
                <w:sz w:val="20"/>
                <w:szCs w:val="20"/>
              </w:rPr>
              <w:t xml:space="preserve"> Programi i studimit specializim afatgjatë hartohet dhe ofrohet në përputhje dhe ne zbatim të strategjisë së zhvillimit të institucionit.</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7929C8" w:rsidRDefault="007929C8" w:rsidP="00C15B46">
            <w:pPr>
              <w:spacing w:line="276" w:lineRule="auto"/>
              <w:rPr>
                <w:rFonts w:ascii="Times New Roman" w:hAnsi="Times New Roman" w:cs="Times New Roman"/>
                <w:sz w:val="20"/>
                <w:szCs w:val="20"/>
              </w:rPr>
            </w:pPr>
            <w:r w:rsidRPr="007929C8">
              <w:rPr>
                <w:rFonts w:ascii="Times New Roman" w:hAnsi="Times New Roman" w:cs="Times New Roman"/>
                <w:b/>
                <w:sz w:val="20"/>
                <w:szCs w:val="20"/>
              </w:rPr>
              <w:t>Kriteri 2:</w:t>
            </w:r>
            <w:r w:rsidRPr="007929C8">
              <w:rPr>
                <w:rFonts w:ascii="Times New Roman" w:hAnsi="Times New Roman" w:cs="Times New Roman"/>
                <w:sz w:val="20"/>
                <w:szCs w:val="20"/>
              </w:rPr>
              <w:t xml:space="preserve"> Programi i specializimit afatgjatë ka të përcaktuara qartë emërtimin, organizimin, strukturën, përmbajtjen, qëllimin dhe objektivat e tij, të harmonizuara me ato të institucionit/institucioneve ofrues, në përputhje dhe me Kornizën Shqiptare të Kualifikimeve</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C1352C" w:rsidRPr="001C0E87" w:rsidTr="003847F8">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21"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9"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Standardi I.3</w:t>
            </w:r>
            <w:r w:rsidRPr="001C0E87">
              <w:rPr>
                <w:rFonts w:ascii="Times New Roman" w:eastAsia="Times New Roman" w:hAnsi="Times New Roman" w:cs="Times New Roman"/>
                <w:b/>
                <w:bCs/>
                <w:lang w:val="sq-AL"/>
              </w:rPr>
              <w:tab/>
            </w:r>
          </w:p>
          <w:p w:rsidR="00C1352C" w:rsidRPr="001C0E87" w:rsidRDefault="00997BE0" w:rsidP="00243BA4">
            <w:pPr>
              <w:spacing w:line="276" w:lineRule="auto"/>
              <w:jc w:val="both"/>
              <w:rPr>
                <w:rFonts w:ascii="Times New Roman" w:hAnsi="Times New Roman" w:cs="Times New Roman"/>
                <w:b/>
              </w:rPr>
            </w:pPr>
            <w:r w:rsidRPr="00997BE0">
              <w:rPr>
                <w:rFonts w:ascii="Times New Roman" w:hAnsi="Times New Roman"/>
                <w:b/>
                <w:color w:val="000000" w:themeColor="text1"/>
                <w:lang w:val="sq-AL"/>
              </w:rPr>
              <w:t>Programi i studimit specializim afagjitë synon të plotësoje nevojat aktuale që ka vendi për specialistë në fushën e mjekësisë</w:t>
            </w:r>
            <w:r>
              <w:rPr>
                <w:rFonts w:ascii="Times New Roman" w:hAnsi="Times New Roman"/>
                <w:b/>
                <w:color w:val="000000" w:themeColor="text1"/>
                <w:lang w:val="sq-AL"/>
              </w:rPr>
              <w:t>.</w:t>
            </w:r>
          </w:p>
        </w:tc>
      </w:tr>
      <w:tr w:rsidR="00C1352C" w:rsidRPr="001C0E87" w:rsidTr="00AB4710">
        <w:trPr>
          <w:trHeight w:val="422"/>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5972BF">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F902C7" w:rsidRPr="001C0E87" w:rsidTr="00AB4710">
        <w:tc>
          <w:tcPr>
            <w:tcW w:w="3060" w:type="dxa"/>
          </w:tcPr>
          <w:p w:rsidR="00F902C7" w:rsidRPr="00997BE0" w:rsidRDefault="00997BE0" w:rsidP="00D248C4">
            <w:pPr>
              <w:spacing w:line="276" w:lineRule="auto"/>
              <w:rPr>
                <w:rFonts w:ascii="Times New Roman" w:hAnsi="Times New Roman" w:cs="Times New Roman"/>
                <w:sz w:val="20"/>
                <w:szCs w:val="20"/>
              </w:rPr>
            </w:pPr>
            <w:r w:rsidRPr="00997BE0">
              <w:rPr>
                <w:rFonts w:ascii="Times New Roman" w:hAnsi="Times New Roman" w:cs="Times New Roman"/>
                <w:b/>
                <w:sz w:val="20"/>
                <w:szCs w:val="20"/>
              </w:rPr>
              <w:t>Kriteri 1:</w:t>
            </w:r>
            <w:r w:rsidRPr="00997BE0">
              <w:rPr>
                <w:rFonts w:ascii="Times New Roman" w:hAnsi="Times New Roman" w:cs="Times New Roman"/>
                <w:sz w:val="20"/>
                <w:szCs w:val="20"/>
              </w:rPr>
              <w:t xml:space="preserve"> Programet e studimeve specializuese afatgjata në fushën e mjekësisë synojnë të  plotësojnë  kërkesat  e  tregut  të  punës  në  përputhje  me  nevojat  për specialistë në fushën e mjekësisë.</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997BE0" w:rsidRDefault="00997BE0" w:rsidP="00D248C4">
            <w:pPr>
              <w:spacing w:line="276" w:lineRule="auto"/>
              <w:rPr>
                <w:rFonts w:ascii="Times New Roman" w:hAnsi="Times New Roman" w:cs="Times New Roman"/>
                <w:sz w:val="20"/>
                <w:szCs w:val="20"/>
              </w:rPr>
            </w:pPr>
            <w:r w:rsidRPr="00E602A2">
              <w:rPr>
                <w:rFonts w:ascii="Times New Roman" w:hAnsi="Times New Roman" w:cs="Times New Roman"/>
                <w:b/>
                <w:sz w:val="20"/>
                <w:szCs w:val="20"/>
              </w:rPr>
              <w:t>Kriteri 2:</w:t>
            </w:r>
            <w:r w:rsidRPr="00997BE0">
              <w:rPr>
                <w:rFonts w:ascii="Times New Roman" w:hAnsi="Times New Roman" w:cs="Times New Roman"/>
                <w:sz w:val="20"/>
                <w:szCs w:val="20"/>
              </w:rPr>
              <w:t xml:space="preserve"> Numri i përgjithshëm i specializantëve dhe numri i atyre që e ndjekin këtë program studimi çdo vit përcaktohet në përputhje me politikat shtetërore të zhvillimit të fushës së shëndetësisë dhe kapacitetet pritëse të strukturave të përfshira në rrjetin formues (në varësi të numrit të personel</w:t>
            </w:r>
            <w:r w:rsidR="00D248C4">
              <w:rPr>
                <w:rFonts w:ascii="Times New Roman" w:hAnsi="Times New Roman" w:cs="Times New Roman"/>
                <w:sz w:val="20"/>
                <w:szCs w:val="20"/>
              </w:rPr>
              <w:t>it, kapaciteteve pritëse, etj).</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C1352C" w:rsidRPr="001C0E87" w:rsidTr="00AB4710">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I.4</w:t>
            </w:r>
            <w:r w:rsidRPr="001C0E87">
              <w:rPr>
                <w:rFonts w:ascii="Times New Roman" w:eastAsia="Times New Roman" w:hAnsi="Times New Roman" w:cs="Times New Roman"/>
                <w:b/>
                <w:bCs/>
                <w:lang w:val="sq-AL"/>
              </w:rPr>
              <w:tab/>
            </w:r>
          </w:p>
          <w:p w:rsidR="00E602A2" w:rsidRPr="001C0E87" w:rsidRDefault="00E602A2" w:rsidP="00596BE2">
            <w:pPr>
              <w:spacing w:line="276" w:lineRule="auto"/>
              <w:jc w:val="both"/>
              <w:rPr>
                <w:rFonts w:ascii="Times New Roman" w:hAnsi="Times New Roman" w:cs="Times New Roman"/>
                <w:b/>
              </w:rPr>
            </w:pPr>
            <w:r w:rsidRPr="00E602A2">
              <w:rPr>
                <w:rFonts w:ascii="Times New Roman" w:hAnsi="Times New Roman"/>
                <w:b/>
                <w:color w:val="000000" w:themeColor="text1"/>
                <w:lang w:val="sq-AL"/>
              </w:rPr>
              <w:t>Programet e studimeve ofrohen në përshtatje me nivelin e studimeve.</w:t>
            </w:r>
          </w:p>
        </w:tc>
      </w:tr>
      <w:tr w:rsidR="00E602A2" w:rsidRPr="001C0E87" w:rsidTr="00596BE2">
        <w:trPr>
          <w:trHeight w:val="422"/>
        </w:trPr>
        <w:tc>
          <w:tcPr>
            <w:tcW w:w="3060" w:type="dxa"/>
            <w:shd w:val="clear" w:color="auto" w:fill="C5E0B3" w:themeFill="accent6"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E602A2" w:rsidRPr="001C0E87" w:rsidRDefault="00E602A2" w:rsidP="005972BF">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E602A2" w:rsidRPr="001C0E87" w:rsidTr="00596BE2">
        <w:tc>
          <w:tcPr>
            <w:tcW w:w="3060" w:type="dxa"/>
          </w:tcPr>
          <w:p w:rsidR="00E602A2"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1:</w:t>
            </w:r>
            <w:r w:rsidRPr="0094333D">
              <w:rPr>
                <w:rFonts w:ascii="Times New Roman" w:hAnsi="Times New Roman" w:cs="Times New Roman"/>
                <w:sz w:val="20"/>
                <w:szCs w:val="20"/>
              </w:rPr>
              <w:t xml:space="preserve"> Programi i specializimit afatgjatë përfshin formim teorik e praktik në fushën e specialitetit, i cili realizohet njëkohësisht në një universitet të akredituar dhe në një institucion spitalor ose në një institucion shëndetësor të miratuar dhe akredituar për këtë qëllim nga Ministri</w:t>
            </w:r>
            <w:r w:rsidR="00D248C4">
              <w:rPr>
                <w:rFonts w:ascii="Times New Roman" w:hAnsi="Times New Roman" w:cs="Times New Roman"/>
                <w:sz w:val="20"/>
                <w:szCs w:val="20"/>
              </w:rPr>
              <w:t>a përgjegjëse për shëndetësinë.</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E602A2"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2:</w:t>
            </w:r>
            <w:r w:rsidRPr="0094333D">
              <w:rPr>
                <w:rFonts w:ascii="Times New Roman" w:hAnsi="Times New Roman" w:cs="Times New Roman"/>
                <w:sz w:val="20"/>
                <w:szCs w:val="20"/>
              </w:rPr>
              <w:t xml:space="preserve"> Programi  i  specializimit  afatgjatë  kryhet  me  kohë  të  plotë  dhe  përfshin pjesëmarrjen në veprimtaritë akademike, klinike/diagnostikuese të departamenteve dhe/ose shërbimeve ku ofrohet formimi,   në  përputhje   me  rregulloren e programeve të specializimeve a</w:t>
            </w:r>
            <w:r w:rsidR="00D248C4">
              <w:rPr>
                <w:rFonts w:ascii="Times New Roman" w:hAnsi="Times New Roman" w:cs="Times New Roman"/>
                <w:sz w:val="20"/>
                <w:szCs w:val="20"/>
              </w:rPr>
              <w:t>fatgjata në fushën e mjekësisë.</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7B7AF7" w:rsidRPr="001C0E87" w:rsidTr="00596BE2">
        <w:trPr>
          <w:trHeight w:val="315"/>
        </w:trPr>
        <w:tc>
          <w:tcPr>
            <w:tcW w:w="3060" w:type="dxa"/>
            <w:vMerge w:val="restart"/>
            <w:shd w:val="clear" w:color="auto" w:fill="F7CAAC" w:themeFill="accent2" w:themeFillTint="66"/>
          </w:tcPr>
          <w:p w:rsidR="007B7AF7" w:rsidRPr="001C0E87" w:rsidRDefault="007B7AF7" w:rsidP="00596BE2">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7B7AF7" w:rsidRPr="001C0E87" w:rsidTr="007B7AF7">
        <w:trPr>
          <w:trHeight w:val="315"/>
        </w:trPr>
        <w:tc>
          <w:tcPr>
            <w:tcW w:w="3060" w:type="dxa"/>
            <w:vMerge/>
            <w:shd w:val="clear" w:color="auto" w:fill="F7CAAC" w:themeFill="accent2" w:themeFillTint="66"/>
          </w:tcPr>
          <w:p w:rsidR="007B7AF7" w:rsidRPr="001C0E87" w:rsidRDefault="007B7AF7" w:rsidP="00596BE2">
            <w:pPr>
              <w:spacing w:line="276" w:lineRule="auto"/>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71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890" w:type="dxa"/>
            <w:shd w:val="clear" w:color="auto" w:fill="auto"/>
          </w:tcPr>
          <w:p w:rsidR="007B7AF7" w:rsidRPr="001C0E87" w:rsidRDefault="007B7AF7" w:rsidP="00596BE2">
            <w:pPr>
              <w:spacing w:line="276" w:lineRule="auto"/>
              <w:jc w:val="both"/>
              <w:rPr>
                <w:rFonts w:ascii="Times New Roman" w:hAnsi="Times New Roman" w:cs="Times New Roman"/>
                <w:b/>
              </w:rPr>
            </w:pPr>
          </w:p>
        </w:tc>
      </w:tr>
    </w:tbl>
    <w:p w:rsidR="00E602A2"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I.5</w:t>
            </w:r>
            <w:r w:rsidRPr="001C0E87">
              <w:rPr>
                <w:rFonts w:ascii="Times New Roman" w:eastAsia="Times New Roman" w:hAnsi="Times New Roman" w:cs="Times New Roman"/>
                <w:b/>
                <w:bCs/>
                <w:lang w:val="sq-AL"/>
              </w:rPr>
              <w:tab/>
            </w:r>
          </w:p>
          <w:p w:rsidR="00E602A2" w:rsidRPr="001C0E87" w:rsidRDefault="0094333D" w:rsidP="00596BE2">
            <w:pPr>
              <w:spacing w:line="276" w:lineRule="auto"/>
              <w:jc w:val="both"/>
              <w:rPr>
                <w:rFonts w:ascii="Times New Roman" w:hAnsi="Times New Roman" w:cs="Times New Roman"/>
                <w:b/>
              </w:rPr>
            </w:pPr>
            <w:r w:rsidRPr="0094333D">
              <w:rPr>
                <w:rFonts w:ascii="Times New Roman" w:hAnsi="Times New Roman"/>
                <w:b/>
                <w:color w:val="000000" w:themeColor="text1"/>
                <w:lang w:val="sq-AL"/>
              </w:rPr>
              <w:t>Programi i studimit i ciklit të tretë specializim afatgjatë në fushën e mjekësisë synon të plotësojë nevojat që ka vendi për specialistë në fushën e mjekësisë.</w:t>
            </w:r>
          </w:p>
        </w:tc>
      </w:tr>
      <w:tr w:rsidR="00E602A2" w:rsidRPr="001C0E87" w:rsidTr="00596BE2">
        <w:trPr>
          <w:trHeight w:val="422"/>
        </w:trPr>
        <w:tc>
          <w:tcPr>
            <w:tcW w:w="3060" w:type="dxa"/>
            <w:shd w:val="clear" w:color="auto" w:fill="C5E0B3" w:themeFill="accent6"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E602A2" w:rsidRPr="001C0E87" w:rsidRDefault="00E602A2" w:rsidP="005972BF">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E602A2" w:rsidRPr="001C0E87" w:rsidTr="00596BE2">
        <w:tc>
          <w:tcPr>
            <w:tcW w:w="3060" w:type="dxa"/>
          </w:tcPr>
          <w:p w:rsidR="00E602A2"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1:</w:t>
            </w:r>
            <w:r w:rsidRPr="0094333D">
              <w:rPr>
                <w:rFonts w:ascii="Times New Roman" w:hAnsi="Times New Roman" w:cs="Times New Roman"/>
                <w:sz w:val="20"/>
                <w:szCs w:val="20"/>
              </w:rPr>
              <w:t xml:space="preserve"> Për hartimin e programit të specializimit afatgjatë, njësia bazë përgjegjëse/shërbimi përgjegjës, kryen studime dhe analiza mbi situatën, zhvillimet, nevojat, prioritetet në fushën e përgjithshme dhe specifike të programit dhe/ose të politikave shtetërore të zhvillimit të fushës së shëndetësisë, të cilat bëhen pjesë e projekt propozimi</w:t>
            </w:r>
            <w:r w:rsidR="00D248C4">
              <w:rPr>
                <w:rFonts w:ascii="Times New Roman" w:hAnsi="Times New Roman" w:cs="Times New Roman"/>
                <w:sz w:val="20"/>
                <w:szCs w:val="20"/>
              </w:rPr>
              <w:t xml:space="preserve">t përpara hapjes së programit. </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E602A2"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2:</w:t>
            </w:r>
            <w:r w:rsidRPr="0094333D">
              <w:rPr>
                <w:rFonts w:ascii="Times New Roman" w:hAnsi="Times New Roman" w:cs="Times New Roman"/>
                <w:sz w:val="20"/>
                <w:szCs w:val="20"/>
              </w:rPr>
              <w:t xml:space="preserve"> Programi i specializimit afatgjatë ka objektiva të përcaktuara qartë për formimin e specialistëve në fushën e mjekësisë me njohuri të thelluara kërkimore, si dhe aftësi dhe kompetenca klinike/diagnostikuese në fushat përkatëse të mjekësisë, në përputhje me kë</w:t>
            </w:r>
            <w:r w:rsidR="00D248C4">
              <w:rPr>
                <w:rFonts w:ascii="Times New Roman" w:hAnsi="Times New Roman" w:cs="Times New Roman"/>
                <w:sz w:val="20"/>
                <w:szCs w:val="20"/>
              </w:rPr>
              <w:t>rkesat dhe nevojat që ka vendi.</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94333D">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3:</w:t>
            </w:r>
            <w:r w:rsidRPr="0094333D">
              <w:rPr>
                <w:rFonts w:ascii="Times New Roman" w:hAnsi="Times New Roman" w:cs="Times New Roman"/>
                <w:sz w:val="20"/>
                <w:szCs w:val="20"/>
              </w:rPr>
              <w:t xml:space="preserve"> Programi i specializimit afatgjatë hartohet dhe harmonizohet me programe të ngjashme të ofruar nga institucione partnere vendase apo të huaja, udhëzues, direktiva të BE, të institucioneve dhe organizmave ndërkombëtare me të cilat është par</w:t>
            </w:r>
            <w:r w:rsidR="00D248C4">
              <w:rPr>
                <w:rFonts w:ascii="Times New Roman" w:hAnsi="Times New Roman" w:cs="Times New Roman"/>
                <w:sz w:val="20"/>
                <w:szCs w:val="20"/>
              </w:rPr>
              <w:t>tner apo bashkëpunon vendi ynë.</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94333D">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4:</w:t>
            </w:r>
            <w:r w:rsidRPr="0094333D">
              <w:rPr>
                <w:rFonts w:ascii="Times New Roman" w:hAnsi="Times New Roman" w:cs="Times New Roman"/>
                <w:sz w:val="20"/>
                <w:szCs w:val="20"/>
              </w:rPr>
              <w:t xml:space="preserve"> Me qëllim rritjen e bashkëpunimit në nivel ndërkombëtar, mobilitetit dhe përfshirjen në veprimtaritë akademike të programit edhe të specialistëve/profesionistë të huaj, programi mund të aplikohet pjesërisht ose i plotë e</w:t>
            </w:r>
            <w:r w:rsidR="00D248C4">
              <w:rPr>
                <w:rFonts w:ascii="Times New Roman" w:hAnsi="Times New Roman" w:cs="Times New Roman"/>
                <w:sz w:val="20"/>
                <w:szCs w:val="20"/>
              </w:rPr>
              <w:t xml:space="preserve">dhe në një nga gjuhët e BE-së. </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94333D">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5:</w:t>
            </w:r>
            <w:r w:rsidRPr="0094333D">
              <w:rPr>
                <w:rFonts w:ascii="Times New Roman" w:hAnsi="Times New Roman" w:cs="Times New Roman"/>
                <w:sz w:val="20"/>
                <w:szCs w:val="20"/>
              </w:rPr>
              <w:t xml:space="preserve"> Programet e studimeve specializuese afatgjata në fushën e mjekësisë synojnë të plotësojnë kërkesat  e  tregut  të  punës  në  përputhje  me  nevojat  për spe</w:t>
            </w:r>
            <w:r w:rsidR="00D248C4">
              <w:rPr>
                <w:rFonts w:ascii="Times New Roman" w:hAnsi="Times New Roman" w:cs="Times New Roman"/>
                <w:sz w:val="20"/>
                <w:szCs w:val="20"/>
              </w:rPr>
              <w:t>cialistë në fushën e mjekësisë.</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6:</w:t>
            </w:r>
            <w:r w:rsidRPr="0094333D">
              <w:rPr>
                <w:rFonts w:ascii="Times New Roman" w:hAnsi="Times New Roman" w:cs="Times New Roman"/>
                <w:sz w:val="20"/>
                <w:szCs w:val="20"/>
              </w:rPr>
              <w:t xml:space="preserve"> Numri i përgjithshëm i specializantëve dhe numri i atyre që e ndjekin këtë program studimi çdo vit përcaktohet në përputhje me politikat shtetërore të zhvillimit të fushës së shëndetësisë dhe kapacitetet pritëse të Institucioneve të arsimit të lartë dhe strukturave shëndetësore të përfshira në rrjetin formues (në varësi kapaciteteve pritëse akademike/prof</w:t>
            </w:r>
            <w:r w:rsidR="00D248C4">
              <w:rPr>
                <w:rFonts w:ascii="Times New Roman" w:hAnsi="Times New Roman" w:cs="Times New Roman"/>
                <w:sz w:val="20"/>
                <w:szCs w:val="20"/>
              </w:rPr>
              <w:t>esionale dhe infrastrukturore).</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7B7AF7" w:rsidRPr="001C0E87" w:rsidTr="00596BE2">
        <w:trPr>
          <w:trHeight w:val="315"/>
        </w:trPr>
        <w:tc>
          <w:tcPr>
            <w:tcW w:w="3060" w:type="dxa"/>
            <w:vMerge w:val="restart"/>
            <w:shd w:val="clear" w:color="auto" w:fill="F7CAAC" w:themeFill="accent2" w:themeFillTint="66"/>
          </w:tcPr>
          <w:p w:rsidR="007B7AF7" w:rsidRPr="001C0E87" w:rsidRDefault="007B7AF7" w:rsidP="00596BE2">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7B7AF7" w:rsidRPr="001C0E87" w:rsidTr="007B7AF7">
        <w:trPr>
          <w:trHeight w:val="315"/>
        </w:trPr>
        <w:tc>
          <w:tcPr>
            <w:tcW w:w="3060" w:type="dxa"/>
            <w:vMerge/>
            <w:shd w:val="clear" w:color="auto" w:fill="F7CAAC" w:themeFill="accent2" w:themeFillTint="66"/>
          </w:tcPr>
          <w:p w:rsidR="007B7AF7" w:rsidRPr="001C0E87" w:rsidRDefault="007B7AF7" w:rsidP="00596BE2">
            <w:pPr>
              <w:spacing w:line="276" w:lineRule="auto"/>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71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890" w:type="dxa"/>
            <w:shd w:val="clear" w:color="auto" w:fill="auto"/>
          </w:tcPr>
          <w:p w:rsidR="007B7AF7" w:rsidRPr="001C0E87" w:rsidRDefault="007B7AF7" w:rsidP="00596BE2">
            <w:pPr>
              <w:spacing w:line="276" w:lineRule="auto"/>
              <w:jc w:val="both"/>
              <w:rPr>
                <w:rFonts w:ascii="Times New Roman" w:hAnsi="Times New Roman" w:cs="Times New Roman"/>
                <w:b/>
              </w:rPr>
            </w:pPr>
          </w:p>
        </w:tc>
      </w:tr>
    </w:tbl>
    <w:p w:rsidR="00E602A2"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I.6</w:t>
            </w:r>
            <w:r w:rsidRPr="001C0E87">
              <w:rPr>
                <w:rFonts w:ascii="Times New Roman" w:eastAsia="Times New Roman" w:hAnsi="Times New Roman" w:cs="Times New Roman"/>
                <w:b/>
                <w:bCs/>
                <w:lang w:val="sq-AL"/>
              </w:rPr>
              <w:tab/>
            </w:r>
          </w:p>
          <w:p w:rsidR="00E602A2" w:rsidRPr="001C0E87" w:rsidRDefault="0094333D" w:rsidP="00596BE2">
            <w:pPr>
              <w:spacing w:line="276" w:lineRule="auto"/>
              <w:jc w:val="both"/>
              <w:rPr>
                <w:rFonts w:ascii="Times New Roman" w:hAnsi="Times New Roman" w:cs="Times New Roman"/>
                <w:b/>
              </w:rPr>
            </w:pPr>
            <w:r w:rsidRPr="0094333D">
              <w:rPr>
                <w:rFonts w:ascii="Times New Roman" w:hAnsi="Times New Roman"/>
                <w:b/>
                <w:color w:val="000000" w:themeColor="text1"/>
                <w:lang w:val="sq-AL"/>
              </w:rPr>
              <w:t>Organizimi i programit të specializimit afatgjatë është në përputhje me fushën akademike dhe në bazë specialiteti.</w:t>
            </w:r>
          </w:p>
        </w:tc>
      </w:tr>
      <w:tr w:rsidR="00E602A2" w:rsidRPr="001C0E87" w:rsidTr="00596BE2">
        <w:trPr>
          <w:trHeight w:val="422"/>
        </w:trPr>
        <w:tc>
          <w:tcPr>
            <w:tcW w:w="3060" w:type="dxa"/>
            <w:shd w:val="clear" w:color="auto" w:fill="C5E0B3" w:themeFill="accent6"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E602A2" w:rsidRPr="001C0E87" w:rsidRDefault="00E602A2" w:rsidP="005972BF">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E602A2" w:rsidRPr="001C0E87" w:rsidTr="00596BE2">
        <w:tc>
          <w:tcPr>
            <w:tcW w:w="3060" w:type="dxa"/>
          </w:tcPr>
          <w:p w:rsidR="00E602A2"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1:</w:t>
            </w:r>
            <w:r w:rsidRPr="0094333D">
              <w:rPr>
                <w:rFonts w:ascii="Times New Roman" w:hAnsi="Times New Roman" w:cs="Times New Roman"/>
                <w:sz w:val="20"/>
                <w:szCs w:val="20"/>
              </w:rPr>
              <w:t xml:space="preserve"> Programi i specializimit afatgjatë organizohet në nivel njësie bazë ose shërbimi (pjesë përbërëse e departamentit) të cilat janë përgjegjës për </w:t>
            </w:r>
            <w:r w:rsidR="00D248C4">
              <w:rPr>
                <w:rFonts w:ascii="Times New Roman" w:hAnsi="Times New Roman" w:cs="Times New Roman"/>
                <w:sz w:val="20"/>
                <w:szCs w:val="20"/>
              </w:rPr>
              <w:t>mbarëvajtjen dhe ecurinë e tij.</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E602A2"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2:</w:t>
            </w:r>
            <w:r w:rsidRPr="0094333D">
              <w:rPr>
                <w:rFonts w:ascii="Times New Roman" w:hAnsi="Times New Roman" w:cs="Times New Roman"/>
                <w:sz w:val="20"/>
                <w:szCs w:val="20"/>
              </w:rPr>
              <w:t xml:space="preserve"> Njësia përgjegjëse ka profilin, përvojën, kapacitetet dhe burimet e duhura në fushën akademike e mjekësore të specialitetit për ofrimin</w:t>
            </w:r>
            <w:r w:rsidR="00D248C4">
              <w:rPr>
                <w:rFonts w:ascii="Times New Roman" w:hAnsi="Times New Roman" w:cs="Times New Roman"/>
                <w:sz w:val="20"/>
                <w:szCs w:val="20"/>
              </w:rPr>
              <w:t xml:space="preserve"> e programit të specializimit. </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94333D">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3:</w:t>
            </w:r>
            <w:r w:rsidRPr="0094333D">
              <w:rPr>
                <w:rFonts w:ascii="Times New Roman" w:hAnsi="Times New Roman" w:cs="Times New Roman"/>
                <w:sz w:val="20"/>
                <w:szCs w:val="20"/>
              </w:rPr>
              <w:t xml:space="preserve"> Programet e studimit mbështeten mbi objektiva të qartë profesionalë dhe janë të integruar me vepri</w:t>
            </w:r>
            <w:r w:rsidR="00D248C4">
              <w:rPr>
                <w:rFonts w:ascii="Times New Roman" w:hAnsi="Times New Roman" w:cs="Times New Roman"/>
                <w:sz w:val="20"/>
                <w:szCs w:val="20"/>
              </w:rPr>
              <w:t>mtaritë klinike/diagnostikuese.</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D248C4">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4:</w:t>
            </w:r>
            <w:r w:rsidRPr="0094333D">
              <w:rPr>
                <w:rFonts w:ascii="Times New Roman" w:hAnsi="Times New Roman" w:cs="Times New Roman"/>
                <w:sz w:val="20"/>
                <w:szCs w:val="20"/>
              </w:rPr>
              <w:t xml:space="preserve"> Fusha specifike e programit të specializimit afatgjatë është në përputhje me fushën akademike të specialitetet të njësisë përgjegjëse (departament/shërbim) për programin e studimit, sipas klasifikimit/kodifikimit të programeve të studimit në përputhje me direktivat dhe u</w:t>
            </w:r>
            <w:r w:rsidR="00D248C4">
              <w:rPr>
                <w:rFonts w:ascii="Times New Roman" w:hAnsi="Times New Roman" w:cs="Times New Roman"/>
                <w:sz w:val="20"/>
                <w:szCs w:val="20"/>
              </w:rPr>
              <w:t>dhëzimet kombëtare e europiane.</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94333D" w:rsidRPr="0094333D" w:rsidRDefault="0094333D" w:rsidP="0094333D">
            <w:pPr>
              <w:spacing w:line="276" w:lineRule="auto"/>
              <w:rPr>
                <w:rFonts w:ascii="Times New Roman" w:hAnsi="Times New Roman" w:cs="Times New Roman"/>
                <w:sz w:val="20"/>
                <w:szCs w:val="20"/>
              </w:rPr>
            </w:pPr>
            <w:r w:rsidRPr="0094333D">
              <w:rPr>
                <w:rFonts w:ascii="Times New Roman" w:hAnsi="Times New Roman" w:cs="Times New Roman"/>
                <w:b/>
                <w:sz w:val="20"/>
                <w:szCs w:val="20"/>
              </w:rPr>
              <w:t>Kriteri 5:</w:t>
            </w:r>
            <w:r w:rsidRPr="0094333D">
              <w:rPr>
                <w:rFonts w:ascii="Times New Roman" w:hAnsi="Times New Roman" w:cs="Times New Roman"/>
                <w:sz w:val="20"/>
                <w:szCs w:val="20"/>
              </w:rPr>
              <w:t xml:space="preserve"> Në rastet kur programi ofrohet në bashkëpunim me institucione te tjera, fusha e specifike e programit të specializimit është në përputhje me fushën akademike e të specialitetit të njësisë/ve përgjegjë</w:t>
            </w:r>
            <w:r w:rsidR="00D248C4">
              <w:rPr>
                <w:rFonts w:ascii="Times New Roman" w:hAnsi="Times New Roman" w:cs="Times New Roman"/>
                <w:sz w:val="20"/>
                <w:szCs w:val="20"/>
              </w:rPr>
              <w:t>se në institucionet respektive.</w:t>
            </w: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7B7AF7" w:rsidRPr="001C0E87" w:rsidTr="00596BE2">
        <w:trPr>
          <w:trHeight w:val="315"/>
        </w:trPr>
        <w:tc>
          <w:tcPr>
            <w:tcW w:w="3060" w:type="dxa"/>
            <w:vMerge w:val="restart"/>
            <w:shd w:val="clear" w:color="auto" w:fill="F7CAAC" w:themeFill="accent2" w:themeFillTint="66"/>
          </w:tcPr>
          <w:p w:rsidR="007B7AF7" w:rsidRPr="001C0E87" w:rsidRDefault="007B7AF7" w:rsidP="00596BE2">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7B7AF7" w:rsidRPr="001C0E87" w:rsidRDefault="007B7AF7" w:rsidP="00596BE2">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7B7AF7" w:rsidRPr="001C0E87" w:rsidTr="007B7AF7">
        <w:trPr>
          <w:trHeight w:val="315"/>
        </w:trPr>
        <w:tc>
          <w:tcPr>
            <w:tcW w:w="3060" w:type="dxa"/>
            <w:vMerge/>
            <w:shd w:val="clear" w:color="auto" w:fill="F7CAAC" w:themeFill="accent2" w:themeFillTint="66"/>
          </w:tcPr>
          <w:p w:rsidR="007B7AF7" w:rsidRPr="001C0E87" w:rsidRDefault="007B7AF7" w:rsidP="00596BE2">
            <w:pPr>
              <w:spacing w:line="276" w:lineRule="auto"/>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71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890" w:type="dxa"/>
            <w:shd w:val="clear" w:color="auto" w:fill="auto"/>
          </w:tcPr>
          <w:p w:rsidR="007B7AF7" w:rsidRPr="001C0E87" w:rsidRDefault="007B7AF7" w:rsidP="00596BE2">
            <w:pPr>
              <w:spacing w:line="276" w:lineRule="auto"/>
              <w:jc w:val="both"/>
              <w:rPr>
                <w:rFonts w:ascii="Times New Roman" w:hAnsi="Times New Roman" w:cs="Times New Roman"/>
                <w:b/>
              </w:rPr>
            </w:pPr>
          </w:p>
        </w:tc>
      </w:tr>
    </w:tbl>
    <w:p w:rsidR="00E602A2" w:rsidRPr="001C0E87"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1C0E87" w:rsidTr="005269F1">
        <w:trPr>
          <w:trHeight w:val="315"/>
        </w:trPr>
        <w:tc>
          <w:tcPr>
            <w:tcW w:w="3060" w:type="dxa"/>
            <w:vMerge w:val="restart"/>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standardeve të fushës I</w:t>
            </w:r>
          </w:p>
        </w:tc>
        <w:tc>
          <w:tcPr>
            <w:tcW w:w="162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44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5269F1">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620" w:type="dxa"/>
          </w:tcPr>
          <w:p w:rsidR="00C1352C" w:rsidRPr="001C0E87" w:rsidRDefault="00C1352C" w:rsidP="00243BA4">
            <w:pPr>
              <w:spacing w:line="276" w:lineRule="auto"/>
              <w:jc w:val="both"/>
              <w:rPr>
                <w:rFonts w:ascii="Times New Roman" w:hAnsi="Times New Roman" w:cs="Times New Roman"/>
                <w:b/>
              </w:rPr>
            </w:pPr>
          </w:p>
        </w:tc>
        <w:tc>
          <w:tcPr>
            <w:tcW w:w="144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Default="00C1352C" w:rsidP="00C1352C">
      <w:pPr>
        <w:spacing w:line="276" w:lineRule="auto"/>
        <w:jc w:val="both"/>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p>
    <w:p w:rsidR="00FE74B7" w:rsidRDefault="00FE74B7" w:rsidP="00C1352C">
      <w:pPr>
        <w:rPr>
          <w:rFonts w:ascii="Times New Roman" w:hAnsi="Times New Roman" w:cs="Times New Roman"/>
          <w:b/>
          <w:sz w:val="28"/>
          <w:szCs w:val="28"/>
        </w:rPr>
      </w:pPr>
    </w:p>
    <w:p w:rsidR="00C1352C" w:rsidRPr="00CE578C" w:rsidRDefault="002D7133"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2D7133">
        <w:rPr>
          <w:rFonts w:ascii="Times New Roman" w:eastAsia="Times New Roman" w:hAnsi="Times New Roman" w:cs="Times New Roman"/>
          <w:b/>
          <w:bCs/>
          <w:caps/>
          <w:sz w:val="24"/>
          <w:szCs w:val="24"/>
          <w:lang w:val="sq-AL"/>
        </w:rPr>
        <w:t>ORGANIZIMI, STRUKTURA DHE ADMINISTRIMI I PROGRAMIT</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lang w:val="sq-AL"/>
              </w:rPr>
            </w:pPr>
            <w:r w:rsidRPr="00A6411D">
              <w:rPr>
                <w:rFonts w:ascii="Times New Roman" w:eastAsia="Times New Roman" w:hAnsi="Times New Roman" w:cs="Times New Roman"/>
                <w:b/>
                <w:lang w:val="sq-AL"/>
              </w:rPr>
              <w:t>Standardi II.1</w:t>
            </w:r>
            <w:r w:rsidRPr="00A6411D">
              <w:rPr>
                <w:rFonts w:ascii="Times New Roman" w:eastAsia="Times New Roman" w:hAnsi="Times New Roman" w:cs="Times New Roman"/>
                <w:b/>
                <w:lang w:val="sq-AL"/>
              </w:rPr>
              <w:tab/>
            </w:r>
          </w:p>
          <w:p w:rsidR="00C1352C" w:rsidRPr="00A6411D" w:rsidRDefault="002D7133" w:rsidP="00243BA4">
            <w:pPr>
              <w:spacing w:line="276" w:lineRule="auto"/>
              <w:jc w:val="both"/>
              <w:rPr>
                <w:rFonts w:ascii="Times New Roman" w:hAnsi="Times New Roman" w:cs="Times New Roman"/>
                <w:b/>
              </w:rPr>
            </w:pPr>
            <w:r w:rsidRPr="002D7133">
              <w:rPr>
                <w:rFonts w:ascii="Times New Roman" w:hAnsi="Times New Roman" w:cs="Times New Roman"/>
                <w:b/>
                <w:lang w:val="sq-AL"/>
              </w:rPr>
              <w:t>Organizmi i programit bazohet në rregullore dhe udhëzues të posaçëm të programit të specializimit afatgjatë</w:t>
            </w:r>
            <w:r>
              <w:rPr>
                <w:rFonts w:ascii="Times New Roman" w:hAnsi="Times New Roman" w:cs="Times New Roman"/>
                <w:b/>
                <w:lang w:val="sq-AL"/>
              </w:rPr>
              <w:t>.</w:t>
            </w:r>
          </w:p>
        </w:tc>
      </w:tr>
      <w:tr w:rsidR="00C1352C" w:rsidRPr="00A6411D" w:rsidTr="0043272C">
        <w:trPr>
          <w:trHeight w:val="350"/>
        </w:trPr>
        <w:tc>
          <w:tcPr>
            <w:tcW w:w="315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66" w:type="dxa"/>
            <w:gridSpan w:val="4"/>
            <w:shd w:val="clear" w:color="auto" w:fill="C5E0B3" w:themeFill="accent6" w:themeFillTint="66"/>
          </w:tcPr>
          <w:p w:rsidR="00C1352C" w:rsidRPr="00A6411D" w:rsidRDefault="00C1352C" w:rsidP="005972BF">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0927D7" w:rsidRPr="00A6411D" w:rsidTr="00A6411D">
        <w:tc>
          <w:tcPr>
            <w:tcW w:w="3154" w:type="dxa"/>
          </w:tcPr>
          <w:p w:rsidR="000927D7" w:rsidRPr="002D7133" w:rsidRDefault="002D7133" w:rsidP="0043272C">
            <w:pPr>
              <w:spacing w:line="276" w:lineRule="auto"/>
              <w:rPr>
                <w:rFonts w:ascii="Times New Roman" w:hAnsi="Times New Roman" w:cs="Times New Roman"/>
                <w:sz w:val="20"/>
                <w:szCs w:val="20"/>
              </w:rPr>
            </w:pPr>
            <w:r w:rsidRPr="002D7133">
              <w:rPr>
                <w:rFonts w:ascii="Times New Roman" w:hAnsi="Times New Roman" w:cs="Times New Roman"/>
                <w:b/>
                <w:sz w:val="20"/>
                <w:szCs w:val="20"/>
              </w:rPr>
              <w:t>Kriteri 1:</w:t>
            </w:r>
            <w:r w:rsidRPr="002D7133">
              <w:rPr>
                <w:rFonts w:ascii="Times New Roman" w:hAnsi="Times New Roman" w:cs="Times New Roman"/>
                <w:sz w:val="20"/>
                <w:szCs w:val="20"/>
              </w:rPr>
              <w:t xml:space="preserve"> Njësia kryesore përgjegjëse për organizimin, zhvillimin e programeve të specializimeve, përcakton në mënyrë të detajuar rregullat e organizimit e të funksionimit të programeve të specializimeve dhe i përditëson ato në funksi</w:t>
            </w:r>
            <w:r w:rsidR="0043272C">
              <w:rPr>
                <w:rFonts w:ascii="Times New Roman" w:hAnsi="Times New Roman" w:cs="Times New Roman"/>
                <w:sz w:val="20"/>
                <w:szCs w:val="20"/>
              </w:rPr>
              <w:t>on të përmirësimit të cilësisë.</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2D7133" w:rsidRDefault="002D7133" w:rsidP="0043272C">
            <w:pPr>
              <w:spacing w:line="276" w:lineRule="auto"/>
              <w:rPr>
                <w:rFonts w:ascii="Times New Roman" w:hAnsi="Times New Roman" w:cs="Times New Roman"/>
                <w:sz w:val="20"/>
                <w:szCs w:val="20"/>
              </w:rPr>
            </w:pPr>
            <w:r w:rsidRPr="002D7133">
              <w:rPr>
                <w:rFonts w:ascii="Times New Roman" w:hAnsi="Times New Roman" w:cs="Times New Roman"/>
                <w:b/>
                <w:sz w:val="20"/>
                <w:szCs w:val="20"/>
              </w:rPr>
              <w:t>Kriteri 2:</w:t>
            </w:r>
            <w:r w:rsidRPr="002D7133">
              <w:rPr>
                <w:rFonts w:ascii="Times New Roman" w:hAnsi="Times New Roman" w:cs="Times New Roman"/>
                <w:sz w:val="20"/>
                <w:szCs w:val="20"/>
              </w:rPr>
              <w:t xml:space="preserve"> Elementët e organizimi të programit, përgjegjësitë, të drejtat dhe detyrimet, përcaktohen në rregulloren e specializimeve afatgjate dhe në akte të tjera</w:t>
            </w:r>
            <w:r w:rsidR="0043272C">
              <w:rPr>
                <w:rFonts w:ascii="Times New Roman" w:hAnsi="Times New Roman" w:cs="Times New Roman"/>
                <w:sz w:val="20"/>
                <w:szCs w:val="20"/>
              </w:rPr>
              <w:t xml:space="preserve"> të miratuara nga institucioni.</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2D7133" w:rsidRDefault="002D7133" w:rsidP="0043272C">
            <w:pPr>
              <w:spacing w:line="276" w:lineRule="auto"/>
              <w:rPr>
                <w:rFonts w:ascii="Times New Roman" w:hAnsi="Times New Roman" w:cs="Times New Roman"/>
                <w:sz w:val="20"/>
                <w:szCs w:val="20"/>
              </w:rPr>
            </w:pPr>
            <w:r w:rsidRPr="002D7133">
              <w:rPr>
                <w:rFonts w:ascii="Times New Roman" w:hAnsi="Times New Roman" w:cs="Times New Roman"/>
                <w:b/>
                <w:sz w:val="20"/>
                <w:szCs w:val="20"/>
              </w:rPr>
              <w:t>Kriteri 3:</w:t>
            </w:r>
            <w:r w:rsidRPr="002D7133">
              <w:rPr>
                <w:rFonts w:ascii="Times New Roman" w:hAnsi="Times New Roman" w:cs="Times New Roman"/>
                <w:sz w:val="20"/>
                <w:szCs w:val="20"/>
              </w:rPr>
              <w:t xml:space="preserve"> Institucioni harton dhe miraton udhëzues, modele për raportimin, vlerësimin dhe arritjet e specializantëve gjatë gjithë v</w:t>
            </w:r>
            <w:r w:rsidR="0043272C">
              <w:rPr>
                <w:rFonts w:ascii="Times New Roman" w:hAnsi="Times New Roman" w:cs="Times New Roman"/>
                <w:sz w:val="20"/>
                <w:szCs w:val="20"/>
              </w:rPr>
              <w:t>itit akademik dhe të studimeve.</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C1352C" w:rsidRPr="00A6411D" w:rsidTr="00A6411D">
        <w:trPr>
          <w:trHeight w:val="315"/>
        </w:trPr>
        <w:tc>
          <w:tcPr>
            <w:tcW w:w="315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2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A6411D">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4327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II.2</w:t>
            </w:r>
            <w:r w:rsidRPr="00A6411D">
              <w:rPr>
                <w:rFonts w:ascii="Times New Roman" w:eastAsia="Times New Roman" w:hAnsi="Times New Roman" w:cs="Times New Roman"/>
                <w:b/>
                <w:bCs/>
                <w:lang w:val="sq-AL"/>
              </w:rPr>
              <w:tab/>
            </w:r>
          </w:p>
          <w:p w:rsidR="00C1352C" w:rsidRPr="00A6411D" w:rsidRDefault="002D7133" w:rsidP="00243BA4">
            <w:pPr>
              <w:spacing w:line="276" w:lineRule="auto"/>
              <w:jc w:val="both"/>
              <w:rPr>
                <w:rFonts w:ascii="Times New Roman" w:hAnsi="Times New Roman" w:cs="Times New Roman"/>
                <w:b/>
              </w:rPr>
            </w:pPr>
            <w:r w:rsidRPr="002D7133">
              <w:rPr>
                <w:rFonts w:ascii="Times New Roman" w:eastAsia="?????? Pro W3" w:hAnsi="Times New Roman" w:cs="Times New Roman"/>
                <w:b/>
                <w:bCs/>
                <w:color w:val="000000"/>
                <w:lang w:val="sq-AL"/>
              </w:rPr>
              <w:t>Përmbajtja e programit të studimit specializim afatgjatë organizohet në përputhje me aktet ligjore e nënligjore në fuqi si dhe në udhëzues të hapësirës evropiane në arsimin e lartë</w:t>
            </w:r>
            <w:r>
              <w:rPr>
                <w:rFonts w:ascii="Times New Roman" w:eastAsia="?????? Pro W3" w:hAnsi="Times New Roman" w:cs="Times New Roman"/>
                <w:b/>
                <w:bCs/>
                <w:color w:val="000000"/>
                <w:lang w:val="sq-AL"/>
              </w:rPr>
              <w:t>.</w:t>
            </w:r>
          </w:p>
        </w:tc>
      </w:tr>
      <w:tr w:rsidR="00C1352C" w:rsidRPr="00A6411D" w:rsidTr="0043272C">
        <w:trPr>
          <w:trHeight w:val="377"/>
        </w:trPr>
        <w:tc>
          <w:tcPr>
            <w:tcW w:w="312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96" w:type="dxa"/>
            <w:gridSpan w:val="4"/>
            <w:shd w:val="clear" w:color="auto" w:fill="C5E0B3" w:themeFill="accent6" w:themeFillTint="66"/>
          </w:tcPr>
          <w:p w:rsidR="00C1352C" w:rsidRPr="00A6411D" w:rsidRDefault="00C1352C" w:rsidP="005972BF">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124" w:type="dxa"/>
          </w:tcPr>
          <w:p w:rsidR="00826B13" w:rsidRPr="00E16D66" w:rsidRDefault="002D7133" w:rsidP="0043272C">
            <w:pPr>
              <w:spacing w:line="276" w:lineRule="auto"/>
              <w:rPr>
                <w:rFonts w:ascii="Times New Roman" w:hAnsi="Times New Roman" w:cs="Times New Roman"/>
                <w:sz w:val="20"/>
                <w:szCs w:val="20"/>
              </w:rPr>
            </w:pPr>
            <w:r w:rsidRPr="00E16D66">
              <w:rPr>
                <w:rFonts w:ascii="Times New Roman" w:hAnsi="Times New Roman" w:cs="Times New Roman"/>
                <w:b/>
                <w:sz w:val="20"/>
                <w:szCs w:val="20"/>
              </w:rPr>
              <w:t>Kriteri 1:</w:t>
            </w:r>
            <w:r w:rsidRPr="00E16D66">
              <w:rPr>
                <w:rFonts w:ascii="Times New Roman" w:hAnsi="Times New Roman" w:cs="Times New Roman"/>
                <w:sz w:val="20"/>
                <w:szCs w:val="20"/>
              </w:rPr>
              <w:t xml:space="preserve"> Për  kryerjen  e  programeve  të  studimeve  specializuese  afatgjata,  studenti duhet të grumbullojë jo më pak se 120 kredite dhe kohëzgjatja normale e këtyre programeve të studimeve është jo më pak se 2 vite akademike, në përputhje me ligjin e profesioneve të rregulluara, dhe për</w:t>
            </w:r>
            <w:r w:rsidR="0043272C">
              <w:rPr>
                <w:rFonts w:ascii="Times New Roman" w:hAnsi="Times New Roman" w:cs="Times New Roman"/>
                <w:sz w:val="20"/>
                <w:szCs w:val="20"/>
              </w:rPr>
              <w:t>caktimeve në shtojcën 1.</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E16D66" w:rsidRDefault="002D7133" w:rsidP="0043272C">
            <w:pPr>
              <w:spacing w:line="276" w:lineRule="auto"/>
              <w:rPr>
                <w:rFonts w:ascii="Times New Roman" w:hAnsi="Times New Roman" w:cs="Times New Roman"/>
                <w:sz w:val="20"/>
                <w:szCs w:val="20"/>
              </w:rPr>
            </w:pPr>
            <w:r w:rsidRPr="00E16D66">
              <w:rPr>
                <w:rFonts w:ascii="Times New Roman" w:hAnsi="Times New Roman" w:cs="Times New Roman"/>
                <w:b/>
                <w:sz w:val="20"/>
                <w:szCs w:val="20"/>
              </w:rPr>
              <w:t>Kriteri 2:</w:t>
            </w:r>
            <w:r w:rsidRPr="00E16D66">
              <w:rPr>
                <w:rFonts w:ascii="Times New Roman" w:hAnsi="Times New Roman" w:cs="Times New Roman"/>
                <w:sz w:val="20"/>
                <w:szCs w:val="20"/>
              </w:rPr>
              <w:t xml:space="preserve"> Kohëzgjatja e normale e programeve të specializimit afatgjatë në fushën e mjekësisë është sipas shtojcës nr 1 dhe kohëzgjatja maksimale nuk mund te jete me shume se dyfishi i kohëzgjatjes normale te specializimit afat</w:t>
            </w:r>
            <w:r w:rsidR="0043272C">
              <w:rPr>
                <w:rFonts w:ascii="Times New Roman" w:hAnsi="Times New Roman" w:cs="Times New Roman"/>
                <w:sz w:val="20"/>
                <w:szCs w:val="20"/>
              </w:rPr>
              <w:t xml:space="preserve">gjatë. </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E16D66" w:rsidRDefault="003F5A0C" w:rsidP="0043272C">
            <w:pPr>
              <w:spacing w:line="276" w:lineRule="auto"/>
              <w:rPr>
                <w:rFonts w:ascii="Times New Roman" w:hAnsi="Times New Roman" w:cs="Times New Roman"/>
                <w:sz w:val="20"/>
                <w:szCs w:val="20"/>
              </w:rPr>
            </w:pPr>
            <w:r w:rsidRPr="00E16D66">
              <w:rPr>
                <w:rFonts w:ascii="Times New Roman" w:hAnsi="Times New Roman" w:cs="Times New Roman"/>
                <w:b/>
                <w:sz w:val="20"/>
                <w:szCs w:val="20"/>
              </w:rPr>
              <w:t>Kriteri 3:</w:t>
            </w:r>
            <w:r w:rsidRPr="00E16D66">
              <w:rPr>
                <w:rFonts w:ascii="Times New Roman" w:hAnsi="Times New Roman" w:cs="Times New Roman"/>
                <w:sz w:val="20"/>
                <w:szCs w:val="20"/>
              </w:rPr>
              <w:t xml:space="preserve"> Përmbajtja e programit, organizimi, vlerësimi dhe monitorimi përafrohen me shembuj të ngjashëm në institucione ndërkombëtare të hapësirës</w:t>
            </w:r>
            <w:r w:rsidR="0043272C">
              <w:rPr>
                <w:rFonts w:ascii="Times New Roman" w:hAnsi="Times New Roman" w:cs="Times New Roman"/>
                <w:sz w:val="20"/>
                <w:szCs w:val="20"/>
              </w:rPr>
              <w:t xml:space="preserve"> evropiane të arsimit të lartë.</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3F5A0C" w:rsidRPr="00A6411D" w:rsidTr="00342D97">
        <w:tc>
          <w:tcPr>
            <w:tcW w:w="3124" w:type="dxa"/>
          </w:tcPr>
          <w:p w:rsidR="003F5A0C" w:rsidRPr="00E16D66" w:rsidRDefault="003F5A0C" w:rsidP="000A6727">
            <w:pPr>
              <w:spacing w:line="276" w:lineRule="auto"/>
              <w:rPr>
                <w:rFonts w:ascii="Times New Roman" w:hAnsi="Times New Roman" w:cs="Times New Roman"/>
                <w:sz w:val="20"/>
                <w:szCs w:val="20"/>
              </w:rPr>
            </w:pPr>
            <w:r w:rsidRPr="00E16D66">
              <w:rPr>
                <w:rFonts w:ascii="Times New Roman" w:hAnsi="Times New Roman" w:cs="Times New Roman"/>
                <w:b/>
                <w:sz w:val="20"/>
                <w:szCs w:val="20"/>
              </w:rPr>
              <w:t>Kriteri 4:</w:t>
            </w:r>
            <w:r w:rsidRPr="00E16D66">
              <w:rPr>
                <w:rFonts w:ascii="Times New Roman" w:hAnsi="Times New Roman" w:cs="Times New Roman"/>
                <w:sz w:val="20"/>
                <w:szCs w:val="20"/>
              </w:rPr>
              <w:t xml:space="preserve"> Programet e studimeve specializuese afatgjata përfshijnë të paktën 80% të ECTS-ve totale për aktivitete klinike/diagnostikuese e profesionalizuese, sipas specializimit përkatës, dhe 20% për studime të organizuara teorike të shpërndara në vite sipas një programi të paracaktuar në fillim të programit të stud</w:t>
            </w:r>
            <w:r w:rsidR="0043272C">
              <w:rPr>
                <w:rFonts w:ascii="Times New Roman" w:hAnsi="Times New Roman" w:cs="Times New Roman"/>
                <w:sz w:val="20"/>
                <w:szCs w:val="20"/>
              </w:rPr>
              <w:t>imit.</w:t>
            </w: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0A6727" w:rsidRPr="00A6411D" w:rsidTr="00342D97">
        <w:tc>
          <w:tcPr>
            <w:tcW w:w="3124" w:type="dxa"/>
          </w:tcPr>
          <w:p w:rsidR="000A6727" w:rsidRPr="00E16D66" w:rsidRDefault="000A6727" w:rsidP="000A6727">
            <w:pPr>
              <w:spacing w:line="276" w:lineRule="auto"/>
              <w:rPr>
                <w:rFonts w:ascii="Times New Roman" w:hAnsi="Times New Roman" w:cs="Times New Roman"/>
                <w:sz w:val="20"/>
                <w:szCs w:val="20"/>
              </w:rPr>
            </w:pPr>
            <w:r w:rsidRPr="000A6727">
              <w:rPr>
                <w:rFonts w:ascii="Times New Roman" w:hAnsi="Times New Roman" w:cs="Times New Roman"/>
                <w:b/>
                <w:sz w:val="20"/>
                <w:szCs w:val="20"/>
              </w:rPr>
              <w:t>Kriteri 5:</w:t>
            </w:r>
            <w:r w:rsidRPr="00E16D66">
              <w:rPr>
                <w:rFonts w:ascii="Times New Roman" w:hAnsi="Times New Roman" w:cs="Times New Roman"/>
                <w:sz w:val="20"/>
                <w:szCs w:val="20"/>
              </w:rPr>
              <w:t xml:space="preserve"> Raporti i lëndëve (referuar totalit të ECTS) të përcaktuara në programin e studimit përbëhet, nga: </w:t>
            </w:r>
          </w:p>
          <w:p w:rsidR="000A6727" w:rsidRPr="00E16D66" w:rsidRDefault="000A6727" w:rsidP="000A6727">
            <w:pPr>
              <w:spacing w:line="276" w:lineRule="auto"/>
              <w:rPr>
                <w:rFonts w:ascii="Times New Roman" w:hAnsi="Times New Roman" w:cs="Times New Roman"/>
                <w:sz w:val="20"/>
                <w:szCs w:val="20"/>
              </w:rPr>
            </w:pPr>
            <w:r w:rsidRPr="00E16D66">
              <w:rPr>
                <w:rFonts w:ascii="Times New Roman" w:hAnsi="Times New Roman" w:cs="Times New Roman"/>
                <w:sz w:val="20"/>
                <w:szCs w:val="20"/>
              </w:rPr>
              <w:t xml:space="preserve">60% lëndë specifike; </w:t>
            </w:r>
          </w:p>
          <w:p w:rsidR="000A6727" w:rsidRPr="00E16D66" w:rsidRDefault="000A6727" w:rsidP="000A6727">
            <w:pPr>
              <w:spacing w:line="276" w:lineRule="auto"/>
              <w:rPr>
                <w:rFonts w:ascii="Times New Roman" w:hAnsi="Times New Roman" w:cs="Times New Roman"/>
                <w:sz w:val="20"/>
                <w:szCs w:val="20"/>
              </w:rPr>
            </w:pPr>
            <w:r w:rsidRPr="00E16D66">
              <w:rPr>
                <w:rFonts w:ascii="Times New Roman" w:hAnsi="Times New Roman" w:cs="Times New Roman"/>
                <w:sz w:val="20"/>
                <w:szCs w:val="20"/>
              </w:rPr>
              <w:t xml:space="preserve">30% lëndë karakterizuese të fushës; </w:t>
            </w:r>
          </w:p>
          <w:p w:rsidR="000A6727" w:rsidRPr="00E16D66" w:rsidRDefault="000A6727" w:rsidP="000A6727">
            <w:pPr>
              <w:spacing w:line="276" w:lineRule="auto"/>
              <w:rPr>
                <w:rFonts w:ascii="Times New Roman" w:hAnsi="Times New Roman" w:cs="Times New Roman"/>
                <w:sz w:val="20"/>
                <w:szCs w:val="20"/>
              </w:rPr>
            </w:pPr>
            <w:r w:rsidRPr="00E16D66">
              <w:rPr>
                <w:rFonts w:ascii="Times New Roman" w:hAnsi="Times New Roman" w:cs="Times New Roman"/>
                <w:sz w:val="20"/>
                <w:szCs w:val="20"/>
              </w:rPr>
              <w:t>5% lëndë të formimit bazë, ndërdisiplinore ose integruese dhe për aktivitete të tjera;</w:t>
            </w:r>
          </w:p>
          <w:p w:rsidR="000A6727" w:rsidRPr="00E16D66" w:rsidRDefault="000A6727" w:rsidP="000A6727">
            <w:pPr>
              <w:spacing w:line="276" w:lineRule="auto"/>
              <w:rPr>
                <w:rFonts w:ascii="Times New Roman" w:hAnsi="Times New Roman" w:cs="Times New Roman"/>
                <w:sz w:val="20"/>
                <w:szCs w:val="20"/>
              </w:rPr>
            </w:pPr>
            <w:r w:rsidRPr="00E16D66">
              <w:rPr>
                <w:rFonts w:ascii="Times New Roman" w:hAnsi="Times New Roman" w:cs="Times New Roman"/>
                <w:sz w:val="20"/>
                <w:szCs w:val="20"/>
              </w:rPr>
              <w:t>5% provimi përfundimtar etj. ;</w:t>
            </w:r>
          </w:p>
          <w:p w:rsidR="000A6727" w:rsidRPr="0043272C" w:rsidRDefault="000A6727"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Jo me shume se 15% e totalit e lëndëve vjetore duhet të jenë lëndë me zgjedhje</w:t>
            </w:r>
            <w:r w:rsidR="0043272C">
              <w:rPr>
                <w:rFonts w:ascii="Times New Roman" w:hAnsi="Times New Roman" w:cs="Times New Roman"/>
                <w:sz w:val="20"/>
                <w:szCs w:val="20"/>
              </w:rPr>
              <w:t>, sipas kuadrit ligjor ne fuqi.</w:t>
            </w:r>
          </w:p>
        </w:tc>
        <w:tc>
          <w:tcPr>
            <w:tcW w:w="6596" w:type="dxa"/>
            <w:gridSpan w:val="4"/>
          </w:tcPr>
          <w:p w:rsidR="000A6727" w:rsidRPr="00A6411D" w:rsidRDefault="000A6727" w:rsidP="00243BA4">
            <w:pPr>
              <w:spacing w:line="276" w:lineRule="auto"/>
              <w:jc w:val="both"/>
              <w:rPr>
                <w:rFonts w:ascii="Times New Roman" w:hAnsi="Times New Roman" w:cs="Times New Roman"/>
                <w:b/>
              </w:rPr>
            </w:pPr>
          </w:p>
        </w:tc>
      </w:tr>
      <w:tr w:rsidR="003F5A0C" w:rsidRPr="00A6411D" w:rsidTr="00342D97">
        <w:tc>
          <w:tcPr>
            <w:tcW w:w="3124" w:type="dxa"/>
          </w:tcPr>
          <w:p w:rsidR="003F5A0C" w:rsidRPr="00E16D66" w:rsidRDefault="003F5A0C" w:rsidP="00E16D66">
            <w:pPr>
              <w:spacing w:line="276" w:lineRule="auto"/>
              <w:rPr>
                <w:rFonts w:ascii="Times New Roman" w:hAnsi="Times New Roman" w:cs="Times New Roman"/>
                <w:sz w:val="20"/>
                <w:szCs w:val="20"/>
              </w:rPr>
            </w:pPr>
            <w:r w:rsidRPr="000A6727">
              <w:rPr>
                <w:rFonts w:ascii="Times New Roman" w:hAnsi="Times New Roman" w:cs="Times New Roman"/>
                <w:b/>
                <w:sz w:val="20"/>
                <w:szCs w:val="20"/>
              </w:rPr>
              <w:t>Kriteri 6:</w:t>
            </w:r>
            <w:r w:rsidRPr="00E16D66">
              <w:rPr>
                <w:rFonts w:ascii="Times New Roman" w:hAnsi="Times New Roman" w:cs="Times New Roman"/>
                <w:sz w:val="20"/>
                <w:szCs w:val="20"/>
              </w:rPr>
              <w:t xml:space="preserve"> Në përfundim të çdo viti organizohet provimi vlerësues teorik dhe praktik I lëndës i cili vlerësohet me notë. Vlerësimi vjetor i lëndës kryhet nga një komision I përbërë nga të paktën 2 (dy) pedagoge. Nder ta</w:t>
            </w:r>
            <w:r w:rsidR="000A6727" w:rsidRPr="00E16D66">
              <w:rPr>
                <w:rFonts w:ascii="Times New Roman" w:hAnsi="Times New Roman" w:cs="Times New Roman"/>
                <w:sz w:val="20"/>
                <w:szCs w:val="20"/>
              </w:rPr>
              <w:t>, te</w:t>
            </w:r>
            <w:r w:rsidRPr="00E16D66">
              <w:rPr>
                <w:rFonts w:ascii="Times New Roman" w:hAnsi="Times New Roman" w:cs="Times New Roman"/>
                <w:sz w:val="20"/>
                <w:szCs w:val="20"/>
              </w:rPr>
              <w:t xml:space="preserve"> paktën njeri prej tyre duhet te jete pedagog me kohe te plote ne fushën përkatëse ndërsa pedagogu i </w:t>
            </w:r>
            <w:r w:rsidR="000A6727" w:rsidRPr="00E16D66">
              <w:rPr>
                <w:rFonts w:ascii="Times New Roman" w:hAnsi="Times New Roman" w:cs="Times New Roman"/>
                <w:sz w:val="20"/>
                <w:szCs w:val="20"/>
              </w:rPr>
              <w:t>dyte specialist</w:t>
            </w:r>
            <w:r w:rsidRPr="00E16D66">
              <w:rPr>
                <w:rFonts w:ascii="Times New Roman" w:hAnsi="Times New Roman" w:cs="Times New Roman"/>
                <w:sz w:val="20"/>
                <w:szCs w:val="20"/>
              </w:rPr>
              <w:t xml:space="preserve"> me përvojë i fushës përkatëse ose të përafërt me të sipas moduleve të zhvilluara. </w:t>
            </w:r>
          </w:p>
          <w:p w:rsidR="003F5A0C" w:rsidRPr="00E16D66" w:rsidRDefault="003F5A0C"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Studentët që vlerësohen negativisht 5 herë marrin një dëshmi për modulet e zhvilluara, së bashku me kreditet e grumbulluara dhe i ndërpresin studim</w:t>
            </w:r>
            <w:r w:rsidR="0043272C">
              <w:rPr>
                <w:rFonts w:ascii="Times New Roman" w:hAnsi="Times New Roman" w:cs="Times New Roman"/>
                <w:sz w:val="20"/>
                <w:szCs w:val="20"/>
              </w:rPr>
              <w:t xml:space="preserve">et e specializimeve afatgjata. </w:t>
            </w: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3F5A0C" w:rsidRPr="00A6411D" w:rsidTr="00342D97">
        <w:tc>
          <w:tcPr>
            <w:tcW w:w="3124" w:type="dxa"/>
          </w:tcPr>
          <w:p w:rsidR="00E16D66" w:rsidRPr="00E16D66" w:rsidRDefault="00E16D66" w:rsidP="00E16D66">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7:</w:t>
            </w:r>
            <w:r w:rsidRPr="00E16D66">
              <w:rPr>
                <w:rFonts w:ascii="Times New Roman" w:hAnsi="Times New Roman" w:cs="Times New Roman"/>
                <w:sz w:val="20"/>
                <w:szCs w:val="20"/>
              </w:rPr>
              <w:t xml:space="preserve"> Studenti i nënshtrohet provimit përfundimtar/final në përfundim të programit specializues i cili përfshin testimin praktik dhe me gojë të studentit dhe/ose paraqitjen e temës të diplomës. </w:t>
            </w:r>
          </w:p>
          <w:p w:rsidR="00E16D66" w:rsidRPr="00E16D66" w:rsidRDefault="00E16D66"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Komisioni për vlerësimin përfundimtar të studentit përbëhet nga 5 specialistë të fushës pedagoge me kohe te plote të IAL që ofron specializimin, ose të një fushe të afërt, me eksperiencë të paktën 10 (dhjetë) vjeçare në fushën përkatëse. Kryetar i komisionit duhet te jete një pedagog me kohë te plote i fushës përkatëse, përgjegjës për programin e specializimit afatgjate ne ketë fushe.</w:t>
            </w:r>
          </w:p>
          <w:p w:rsidR="00E16D66" w:rsidRPr="00E16D66" w:rsidRDefault="00E16D66"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Disa nga njohuritë bazë për të cilat aplikanti testohet në provimin përfundimtar, janë:</w:t>
            </w:r>
          </w:p>
          <w:p w:rsidR="00E16D66" w:rsidRPr="00E16D66" w:rsidRDefault="00E16D66"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a.   Zhvillimi i sensit kritik lidhur me situatat e ndryshme klinike;</w:t>
            </w:r>
          </w:p>
          <w:p w:rsidR="00E16D66" w:rsidRPr="00E16D66" w:rsidRDefault="00E16D66"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b.   Lidhjet mes fushave të ndryshme  të mjekësisë;</w:t>
            </w:r>
          </w:p>
          <w:p w:rsidR="00E16D66" w:rsidRPr="00E16D66" w:rsidRDefault="00E16D66"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c.   Aftësi  të  zhvilluara  për  zgjidhjen  e  problemeve  që  dalin  gjatë  punës  në klinikë;</w:t>
            </w:r>
          </w:p>
          <w:p w:rsidR="003F5A0C" w:rsidRPr="00E16D66" w:rsidRDefault="00E16D66" w:rsidP="00E16D66">
            <w:pPr>
              <w:spacing w:line="276" w:lineRule="auto"/>
              <w:rPr>
                <w:rFonts w:ascii="Times New Roman" w:hAnsi="Times New Roman" w:cs="Times New Roman"/>
                <w:sz w:val="20"/>
                <w:szCs w:val="20"/>
              </w:rPr>
            </w:pPr>
            <w:r w:rsidRPr="00E16D66">
              <w:rPr>
                <w:rFonts w:ascii="Times New Roman" w:hAnsi="Times New Roman" w:cs="Times New Roman"/>
                <w:sz w:val="20"/>
                <w:szCs w:val="20"/>
              </w:rPr>
              <w:t>d.   Kompetencë për të menaxhuar kompleksitetin e situatave klinike dhe për të dhën</w:t>
            </w:r>
            <w:r w:rsidR="0043272C">
              <w:rPr>
                <w:rFonts w:ascii="Times New Roman" w:hAnsi="Times New Roman" w:cs="Times New Roman"/>
                <w:sz w:val="20"/>
                <w:szCs w:val="20"/>
              </w:rPr>
              <w:t>ë zgjidhje në raste emergjente.</w:t>
            </w: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E16D66" w:rsidRPr="00A6411D" w:rsidTr="00342D97">
        <w:tc>
          <w:tcPr>
            <w:tcW w:w="3124" w:type="dxa"/>
          </w:tcPr>
          <w:p w:rsidR="00E16D66" w:rsidRPr="00E16D66" w:rsidRDefault="00E16D66" w:rsidP="00E16D66">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8:</w:t>
            </w:r>
            <w:r w:rsidRPr="00E16D66">
              <w:rPr>
                <w:rFonts w:ascii="Times New Roman" w:hAnsi="Times New Roman" w:cs="Times New Roman"/>
                <w:sz w:val="20"/>
                <w:szCs w:val="20"/>
              </w:rPr>
              <w:t xml:space="preserve"> Në kuadër të përmirësimit të programit, njësia përgjegjëse ka të drejtën e ndryshimeve në përmbajtje të formimit teorik të programit të specializimit, dokumenton procedurën në përpu</w:t>
            </w:r>
            <w:r w:rsidR="0043272C">
              <w:rPr>
                <w:rFonts w:ascii="Times New Roman" w:hAnsi="Times New Roman" w:cs="Times New Roman"/>
                <w:sz w:val="20"/>
                <w:szCs w:val="20"/>
              </w:rPr>
              <w:t>thje me legjislacionin ne fuqi.</w:t>
            </w:r>
          </w:p>
        </w:tc>
        <w:tc>
          <w:tcPr>
            <w:tcW w:w="6596" w:type="dxa"/>
            <w:gridSpan w:val="4"/>
          </w:tcPr>
          <w:p w:rsidR="00E16D66" w:rsidRPr="00A6411D" w:rsidRDefault="00E16D66" w:rsidP="00243BA4">
            <w:pPr>
              <w:spacing w:line="276" w:lineRule="auto"/>
              <w:jc w:val="both"/>
              <w:rPr>
                <w:rFonts w:ascii="Times New Roman" w:hAnsi="Times New Roman" w:cs="Times New Roman"/>
                <w:b/>
              </w:rPr>
            </w:pPr>
          </w:p>
        </w:tc>
      </w:tr>
      <w:tr w:rsidR="00C1352C" w:rsidRPr="00A6411D" w:rsidTr="00342D97">
        <w:trPr>
          <w:trHeight w:val="315"/>
        </w:trPr>
        <w:tc>
          <w:tcPr>
            <w:tcW w:w="312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5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II.3</w:t>
            </w:r>
            <w:r w:rsidRPr="00A6411D">
              <w:rPr>
                <w:rFonts w:ascii="Times New Roman" w:eastAsia="Times New Roman" w:hAnsi="Times New Roman" w:cs="Times New Roman"/>
                <w:b/>
                <w:bCs/>
                <w:lang w:val="sq-AL"/>
              </w:rPr>
              <w:tab/>
            </w:r>
          </w:p>
          <w:p w:rsidR="00C1352C" w:rsidRPr="00A6411D" w:rsidRDefault="00AE4B06" w:rsidP="00243BA4">
            <w:pPr>
              <w:spacing w:line="276" w:lineRule="auto"/>
              <w:jc w:val="both"/>
              <w:rPr>
                <w:rFonts w:ascii="Times New Roman" w:hAnsi="Times New Roman" w:cs="Times New Roman"/>
                <w:b/>
              </w:rPr>
            </w:pPr>
            <w:r w:rsidRPr="00AE4B06">
              <w:rPr>
                <w:rFonts w:ascii="Times New Roman" w:eastAsia="Times New Roman" w:hAnsi="Times New Roman" w:cs="Times New Roman"/>
                <w:b/>
                <w:bCs/>
                <w:lang w:val="sq-AL"/>
              </w:rPr>
              <w:t>Pranimi i studentëve në një program studimi specializues afatgjatë në fushën e mjekësisë</w:t>
            </w:r>
            <w:r>
              <w:rPr>
                <w:rFonts w:ascii="Times New Roman" w:eastAsia="Times New Roman" w:hAnsi="Times New Roman" w:cs="Times New Roman"/>
                <w:b/>
                <w:bCs/>
                <w:lang w:val="sq-AL"/>
              </w:rPr>
              <w:t>.</w:t>
            </w:r>
          </w:p>
        </w:tc>
      </w:tr>
      <w:tr w:rsidR="00C1352C" w:rsidRPr="00A6411D" w:rsidTr="0043272C">
        <w:trPr>
          <w:trHeight w:val="332"/>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5972BF">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AE4B06" w:rsidRDefault="00AE4B06" w:rsidP="0043272C">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1:</w:t>
            </w:r>
            <w:r w:rsidRPr="00AE4B06">
              <w:rPr>
                <w:rFonts w:ascii="Times New Roman" w:hAnsi="Times New Roman" w:cs="Times New Roman"/>
                <w:sz w:val="20"/>
                <w:szCs w:val="20"/>
              </w:rPr>
              <w:t xml:space="preserve"> Studenti i pranuar në programin e studimit specializues afatgjatë në fushën e mjekësisë ka përfunduar programin e integruar të studimeve universitare të integruara të ciklit të dytë me kohëzgjatje 5 vjeçare (300 ECTS) në Farmaci dhe Stomatologji dhe 6 vjeçare (360 ECTS) në Mjekësi e përgjithshme, pranë një universiteti të akredituar për programin në fjalë dhe ka fituar diplomën universitare “Master i Shkencave”. Për studentët e diplomuar në të njëjtat programe jashtë shtetit, duhet të paraqesin diplomën dhe lejen për ushtrimin e profesionit të njohur nga institucioni shtetëror pë</w:t>
            </w:r>
            <w:r w:rsidR="0043272C">
              <w:rPr>
                <w:rFonts w:ascii="Times New Roman" w:hAnsi="Times New Roman" w:cs="Times New Roman"/>
                <w:sz w:val="20"/>
                <w:szCs w:val="20"/>
              </w:rPr>
              <w:t>rgjegjës.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AE4B06" w:rsidRDefault="00AE4B06" w:rsidP="0043272C">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2:</w:t>
            </w:r>
            <w:r w:rsidRPr="00AE4B06">
              <w:rPr>
                <w:rFonts w:ascii="Times New Roman" w:hAnsi="Times New Roman" w:cs="Times New Roman"/>
                <w:sz w:val="20"/>
                <w:szCs w:val="20"/>
              </w:rPr>
              <w:t xml:space="preserve"> Kandidati që aplikon për të vazhduar programin e studimeve të ciklit të tretë, për specializim afatgjatë në fushën e mjekësisë, i nënshtrohet një konkursi pranimi për të testuar njohuritë n</w:t>
            </w:r>
            <w:r w:rsidR="0043272C">
              <w:rPr>
                <w:rFonts w:ascii="Times New Roman" w:hAnsi="Times New Roman" w:cs="Times New Roman"/>
                <w:sz w:val="20"/>
                <w:szCs w:val="20"/>
              </w:rPr>
              <w:t>ë fushën përkatëse të studimit.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AE4B06" w:rsidRPr="00AE4B06" w:rsidRDefault="00AE4B06" w:rsidP="00AE4B06">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3:</w:t>
            </w:r>
            <w:r w:rsidRPr="00AE4B06">
              <w:rPr>
                <w:rFonts w:ascii="Times New Roman" w:hAnsi="Times New Roman" w:cs="Times New Roman"/>
                <w:sz w:val="20"/>
                <w:szCs w:val="20"/>
              </w:rPr>
              <w:t xml:space="preserve"> Vlerësimi i studentit për pranimin në një program studimi bëhet me pikë kumulative duke vlerësuar të paktën elementët e mëposhtëm:</w:t>
            </w:r>
          </w:p>
          <w:p w:rsidR="00AE4B06" w:rsidRPr="00AE4B06" w:rsidRDefault="00AE4B06" w:rsidP="00AE4B06">
            <w:pPr>
              <w:pStyle w:val="ListParagraph"/>
              <w:numPr>
                <w:ilvl w:val="0"/>
                <w:numId w:val="14"/>
              </w:numPr>
              <w:spacing w:line="276" w:lineRule="auto"/>
              <w:rPr>
                <w:rFonts w:ascii="Times New Roman" w:hAnsi="Times New Roman" w:cs="Times New Roman"/>
                <w:sz w:val="20"/>
                <w:szCs w:val="20"/>
              </w:rPr>
            </w:pPr>
            <w:r w:rsidRPr="00AE4B06">
              <w:rPr>
                <w:rFonts w:ascii="Times New Roman" w:hAnsi="Times New Roman" w:cs="Times New Roman"/>
                <w:sz w:val="20"/>
                <w:szCs w:val="20"/>
              </w:rPr>
              <w:t xml:space="preserve">notën mesatare (notën përfundimtare sipas tipologjisë së diplomës që ai disponon) për jo më shumë se 30% të pikëve totale, </w:t>
            </w:r>
          </w:p>
          <w:p w:rsidR="00AE4B06" w:rsidRPr="00AE4B06" w:rsidRDefault="00AE4B06" w:rsidP="00AE4B06">
            <w:pPr>
              <w:pStyle w:val="ListParagraph"/>
              <w:numPr>
                <w:ilvl w:val="0"/>
                <w:numId w:val="14"/>
              </w:numPr>
              <w:spacing w:line="276" w:lineRule="auto"/>
              <w:rPr>
                <w:rFonts w:ascii="Times New Roman" w:hAnsi="Times New Roman" w:cs="Times New Roman"/>
                <w:sz w:val="20"/>
                <w:szCs w:val="20"/>
              </w:rPr>
            </w:pPr>
            <w:r w:rsidRPr="00AE4B06">
              <w:rPr>
                <w:rFonts w:ascii="Times New Roman" w:hAnsi="Times New Roman" w:cs="Times New Roman"/>
                <w:sz w:val="20"/>
                <w:szCs w:val="20"/>
              </w:rPr>
              <w:t xml:space="preserve">testimin e përgjithshëm me shkrim për 30-40% të pikëve totale, </w:t>
            </w:r>
          </w:p>
          <w:p w:rsidR="00826B13" w:rsidRPr="0043272C" w:rsidRDefault="00AE4B06" w:rsidP="0043272C">
            <w:pPr>
              <w:pStyle w:val="ListParagraph"/>
              <w:numPr>
                <w:ilvl w:val="0"/>
                <w:numId w:val="14"/>
              </w:numPr>
              <w:spacing w:line="276" w:lineRule="auto"/>
              <w:rPr>
                <w:rFonts w:ascii="Times New Roman" w:hAnsi="Times New Roman" w:cs="Times New Roman"/>
                <w:sz w:val="20"/>
                <w:szCs w:val="20"/>
              </w:rPr>
            </w:pPr>
            <w:r w:rsidRPr="00AE4B06">
              <w:rPr>
                <w:rFonts w:ascii="Times New Roman" w:hAnsi="Times New Roman" w:cs="Times New Roman"/>
                <w:sz w:val="20"/>
                <w:szCs w:val="20"/>
              </w:rPr>
              <w:t xml:space="preserve">testimin me shkrim specifik sipas programit të specializimit për të cilin konkurron për 40-50% të pikëve totale. </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AE4B06" w:rsidRPr="00AE4B06" w:rsidRDefault="00AE4B06" w:rsidP="00AE4B06">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4:</w:t>
            </w:r>
            <w:r w:rsidRPr="00AE4B06">
              <w:rPr>
                <w:rFonts w:ascii="Times New Roman" w:hAnsi="Times New Roman" w:cs="Times New Roman"/>
                <w:sz w:val="20"/>
                <w:szCs w:val="20"/>
              </w:rPr>
              <w:t xml:space="preserve"> Kandidati që aplikon në programet e ciklit të tretë specializim afatgjatë duhet të ketë përfunduar me sukses provimin e shtetit në profesionin përkatës ose të ketë fituar të drejtën e ushtrimit të profesionit në RSH ose jashtë saj (njohur në RSH).</w:t>
            </w:r>
          </w:p>
          <w:p w:rsidR="00826B13" w:rsidRPr="00AE4B06" w:rsidRDefault="00AE4B06" w:rsidP="0043272C">
            <w:pPr>
              <w:spacing w:line="276" w:lineRule="auto"/>
              <w:rPr>
                <w:rFonts w:ascii="Times New Roman" w:hAnsi="Times New Roman" w:cs="Times New Roman"/>
                <w:sz w:val="20"/>
                <w:szCs w:val="20"/>
              </w:rPr>
            </w:pPr>
            <w:r w:rsidRPr="00AE4B06">
              <w:rPr>
                <w:rFonts w:ascii="Times New Roman" w:hAnsi="Times New Roman" w:cs="Times New Roman"/>
                <w:sz w:val="20"/>
                <w:szCs w:val="20"/>
              </w:rPr>
              <w:t>Studenti mund të riaplikojë për të konkuruar në një program tjetër specializues në një IAL sipas parashikimeve ligjore në fuqi.  Studentit mund t’i njihen ECTS-të e grumbulluara për studimet e organizuara teorike nëse gjykohet se përputhen me fushën e pro</w:t>
            </w:r>
            <w:r w:rsidR="0043272C">
              <w:rPr>
                <w:rFonts w:ascii="Times New Roman" w:hAnsi="Times New Roman" w:cs="Times New Roman"/>
                <w:sz w:val="20"/>
                <w:szCs w:val="20"/>
              </w:rPr>
              <w:t>gramit të ri ku ai ka aplikuar.</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AE4B06" w:rsidRDefault="00AE4B06" w:rsidP="0043272C">
            <w:pPr>
              <w:spacing w:line="276" w:lineRule="auto"/>
              <w:rPr>
                <w:rFonts w:ascii="Times New Roman" w:hAnsi="Times New Roman" w:cs="Times New Roman"/>
                <w:sz w:val="20"/>
                <w:szCs w:val="20"/>
              </w:rPr>
            </w:pPr>
            <w:r w:rsidRPr="00AE4B06">
              <w:rPr>
                <w:rFonts w:ascii="Times New Roman" w:hAnsi="Times New Roman" w:cs="Times New Roman"/>
                <w:b/>
                <w:sz w:val="20"/>
                <w:szCs w:val="20"/>
              </w:rPr>
              <w:t>Kriteri 5:</w:t>
            </w:r>
            <w:r w:rsidRPr="00AE4B06">
              <w:rPr>
                <w:rFonts w:ascii="Times New Roman" w:hAnsi="Times New Roman" w:cs="Times New Roman"/>
                <w:sz w:val="20"/>
                <w:szCs w:val="20"/>
              </w:rPr>
              <w:t xml:space="preserve"> Kriteret minimale për t’u kualifikuar ne përzgjedhjen e programit të studimit specializim afatgjate janë të pasqyruara në rregulloren e programeve të studimeve të specializimeve afatgjata në fushën e mjekësisë dhe të </w:t>
            </w:r>
            <w:r w:rsidR="0043272C">
              <w:rPr>
                <w:rFonts w:ascii="Times New Roman" w:hAnsi="Times New Roman" w:cs="Times New Roman"/>
                <w:sz w:val="20"/>
                <w:szCs w:val="20"/>
              </w:rPr>
              <w:t xml:space="preserve">aprovuara nga Senati Akademik. </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AE4B06" w:rsidRPr="00A6411D" w:rsidTr="00342D97">
        <w:tc>
          <w:tcPr>
            <w:tcW w:w="3060" w:type="dxa"/>
          </w:tcPr>
          <w:p w:rsidR="00AE4B06" w:rsidRPr="00AE4B06" w:rsidRDefault="00AE4B06" w:rsidP="00AE4B06">
            <w:pPr>
              <w:spacing w:line="276" w:lineRule="auto"/>
              <w:rPr>
                <w:rFonts w:ascii="Times New Roman" w:hAnsi="Times New Roman" w:cs="Times New Roman"/>
                <w:sz w:val="20"/>
                <w:szCs w:val="20"/>
              </w:rPr>
            </w:pPr>
            <w:r w:rsidRPr="00EF2161">
              <w:rPr>
                <w:rFonts w:ascii="Times New Roman" w:hAnsi="Times New Roman" w:cs="Times New Roman"/>
                <w:b/>
                <w:sz w:val="20"/>
                <w:szCs w:val="20"/>
              </w:rPr>
              <w:t>Kriteri 6:</w:t>
            </w:r>
            <w:r w:rsidRPr="00AE4B06">
              <w:rPr>
                <w:rFonts w:ascii="Times New Roman" w:hAnsi="Times New Roman" w:cs="Times New Roman"/>
                <w:sz w:val="20"/>
                <w:szCs w:val="20"/>
              </w:rPr>
              <w:t xml:space="preserve"> Aplikanti njihet me rregulloren e specializimeve afatgjata të miratuar nga Senati akademik i IAL, me kriteret minimale të pranimit, në faqen zyrtare të IAL dhe/ose njësisë kryes</w:t>
            </w:r>
            <w:r w:rsidR="0043272C">
              <w:rPr>
                <w:rFonts w:ascii="Times New Roman" w:hAnsi="Times New Roman" w:cs="Times New Roman"/>
                <w:sz w:val="20"/>
                <w:szCs w:val="20"/>
              </w:rPr>
              <w:t>ore, para se të pranohet në të.</w:t>
            </w:r>
          </w:p>
        </w:tc>
        <w:tc>
          <w:tcPr>
            <w:tcW w:w="6660" w:type="dxa"/>
            <w:gridSpan w:val="4"/>
          </w:tcPr>
          <w:p w:rsidR="00AE4B06" w:rsidRPr="00A6411D" w:rsidRDefault="00AE4B06"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II.4</w:t>
            </w:r>
            <w:r w:rsidRPr="00A6411D">
              <w:rPr>
                <w:rFonts w:ascii="Times New Roman" w:eastAsia="Times New Roman" w:hAnsi="Times New Roman" w:cs="Times New Roman"/>
                <w:b/>
                <w:bCs/>
                <w:lang w:val="sq-AL"/>
              </w:rPr>
              <w:tab/>
            </w:r>
          </w:p>
          <w:p w:rsidR="00C1352C" w:rsidRPr="00A6411D" w:rsidRDefault="00EF2161" w:rsidP="00243BA4">
            <w:pPr>
              <w:spacing w:line="276" w:lineRule="auto"/>
              <w:jc w:val="both"/>
              <w:rPr>
                <w:rFonts w:ascii="Times New Roman" w:hAnsi="Times New Roman" w:cs="Times New Roman"/>
                <w:b/>
              </w:rPr>
            </w:pPr>
            <w:r w:rsidRPr="00EF2161">
              <w:rPr>
                <w:rFonts w:ascii="Times New Roman" w:eastAsia="Times New Roman" w:hAnsi="Times New Roman" w:cs="Times New Roman"/>
                <w:b/>
                <w:bCs/>
                <w:lang w:val="sq-AL"/>
              </w:rPr>
              <w:t>Hartimi dhe miratimi i rregullores së specializimeve afatgjata</w:t>
            </w:r>
            <w:r>
              <w:rPr>
                <w:rFonts w:ascii="Times New Roman" w:eastAsia="Times New Roman" w:hAnsi="Times New Roman" w:cs="Times New Roman"/>
                <w:b/>
                <w:bCs/>
                <w:lang w:val="sq-AL"/>
              </w:rPr>
              <w:t>.</w:t>
            </w:r>
          </w:p>
        </w:tc>
      </w:tr>
      <w:tr w:rsidR="00C1352C" w:rsidRPr="00A6411D" w:rsidTr="0043272C">
        <w:trPr>
          <w:trHeight w:val="350"/>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5972BF">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EF2161" w:rsidRDefault="00EF2161" w:rsidP="0043272C">
            <w:pPr>
              <w:spacing w:line="276" w:lineRule="auto"/>
              <w:rPr>
                <w:rFonts w:ascii="Times New Roman" w:hAnsi="Times New Roman" w:cs="Times New Roman"/>
                <w:sz w:val="20"/>
                <w:szCs w:val="20"/>
              </w:rPr>
            </w:pPr>
            <w:r w:rsidRPr="00285681">
              <w:rPr>
                <w:rFonts w:ascii="Times New Roman" w:hAnsi="Times New Roman" w:cs="Times New Roman"/>
                <w:b/>
                <w:sz w:val="20"/>
                <w:szCs w:val="20"/>
              </w:rPr>
              <w:t>Kriteri 1:</w:t>
            </w:r>
            <w:r w:rsidRPr="00EF2161">
              <w:rPr>
                <w:rFonts w:ascii="Times New Roman" w:hAnsi="Times New Roman" w:cs="Times New Roman"/>
                <w:sz w:val="20"/>
                <w:szCs w:val="20"/>
              </w:rPr>
              <w:t xml:space="preserve"> Rregullorja është hartuar në përputhje me standardet e specializimeve në fushën e mjekësisë dhe me aktet ligjore </w:t>
            </w:r>
            <w:r w:rsidR="0043272C">
              <w:rPr>
                <w:rFonts w:ascii="Times New Roman" w:hAnsi="Times New Roman" w:cs="Times New Roman"/>
                <w:sz w:val="20"/>
                <w:szCs w:val="20"/>
              </w:rPr>
              <w:t>e nënligjore në fuqi.</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EF2161" w:rsidRDefault="00EF2161" w:rsidP="0043272C">
            <w:pPr>
              <w:spacing w:line="276" w:lineRule="auto"/>
              <w:rPr>
                <w:rFonts w:ascii="Times New Roman" w:hAnsi="Times New Roman" w:cs="Times New Roman"/>
                <w:sz w:val="20"/>
                <w:szCs w:val="20"/>
              </w:rPr>
            </w:pPr>
            <w:r w:rsidRPr="00285681">
              <w:rPr>
                <w:rFonts w:ascii="Times New Roman" w:hAnsi="Times New Roman" w:cs="Times New Roman"/>
                <w:b/>
                <w:sz w:val="20"/>
                <w:szCs w:val="20"/>
              </w:rPr>
              <w:t>Kriteri 2:</w:t>
            </w:r>
            <w:r w:rsidRPr="00EF2161">
              <w:rPr>
                <w:rFonts w:ascii="Times New Roman" w:hAnsi="Times New Roman" w:cs="Times New Roman"/>
                <w:sz w:val="20"/>
                <w:szCs w:val="20"/>
              </w:rPr>
              <w:t xml:space="preserve"> Rregullorja hyn në fuqi në fillim të çdo viti akademik dhe përditësohet çdo vit të ri akademik. Nëse ska ndryshime, është ne fuqi rreg</w:t>
            </w:r>
            <w:r w:rsidR="0043272C">
              <w:rPr>
                <w:rFonts w:ascii="Times New Roman" w:hAnsi="Times New Roman" w:cs="Times New Roman"/>
                <w:sz w:val="20"/>
                <w:szCs w:val="20"/>
              </w:rPr>
              <w:t>ullorja e fundit e përditësuar.</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EF2161" w:rsidRDefault="00EF2161" w:rsidP="0043272C">
            <w:pPr>
              <w:spacing w:line="276" w:lineRule="auto"/>
              <w:rPr>
                <w:rFonts w:ascii="Times New Roman" w:hAnsi="Times New Roman" w:cs="Times New Roman"/>
                <w:sz w:val="20"/>
                <w:szCs w:val="20"/>
              </w:rPr>
            </w:pPr>
            <w:r w:rsidRPr="00285681">
              <w:rPr>
                <w:rFonts w:ascii="Times New Roman" w:hAnsi="Times New Roman" w:cs="Times New Roman"/>
                <w:b/>
                <w:sz w:val="20"/>
                <w:szCs w:val="20"/>
              </w:rPr>
              <w:t>Kriteri 3:</w:t>
            </w:r>
            <w:r w:rsidRPr="00EF2161">
              <w:rPr>
                <w:rFonts w:ascii="Times New Roman" w:hAnsi="Times New Roman" w:cs="Times New Roman"/>
                <w:sz w:val="20"/>
                <w:szCs w:val="20"/>
              </w:rPr>
              <w:t xml:space="preserve"> Përditësimet në rregulloren e specializimeve afatgjata i përkasin ciklit të specializimit që fillojnë për herë të parë me rregulloren e përditësuar deri në përfundim të tij.  Nëse është të nevojshme, ndryshimet në rregulloret pasardhëse duhet të përjashtojnë shprehimisht ciklin e nisur të specia</w:t>
            </w:r>
            <w:r w:rsidR="0043272C">
              <w:rPr>
                <w:rFonts w:ascii="Times New Roman" w:hAnsi="Times New Roman" w:cs="Times New Roman"/>
                <w:sz w:val="20"/>
                <w:szCs w:val="20"/>
              </w:rPr>
              <w:t>lizimit.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EF2161" w:rsidRDefault="00EF2161" w:rsidP="0043272C">
            <w:pPr>
              <w:spacing w:line="276" w:lineRule="auto"/>
              <w:rPr>
                <w:rFonts w:ascii="Times New Roman" w:hAnsi="Times New Roman" w:cs="Times New Roman"/>
                <w:sz w:val="20"/>
                <w:szCs w:val="20"/>
              </w:rPr>
            </w:pPr>
            <w:r w:rsidRPr="00EF2161">
              <w:rPr>
                <w:rFonts w:ascii="Times New Roman" w:hAnsi="Times New Roman" w:cs="Times New Roman"/>
                <w:sz w:val="20"/>
                <w:szCs w:val="20"/>
              </w:rPr>
              <w:t>Kriteri 4: Rregullorja propozohet nga Njësia kryesore që ofron programin e specializimeve dhe aprov</w:t>
            </w:r>
            <w:r w:rsidR="0043272C">
              <w:rPr>
                <w:rFonts w:ascii="Times New Roman" w:hAnsi="Times New Roman" w:cs="Times New Roman"/>
                <w:sz w:val="20"/>
                <w:szCs w:val="20"/>
              </w:rPr>
              <w:t>ohet nga senati akademik i IAL.</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3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24"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EF2161">
        <w:trPr>
          <w:trHeight w:val="39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II.5</w:t>
            </w:r>
            <w:r w:rsidRPr="00A6411D">
              <w:rPr>
                <w:rFonts w:ascii="Times New Roman" w:eastAsia="Times New Roman" w:hAnsi="Times New Roman" w:cs="Times New Roman"/>
                <w:b/>
                <w:bCs/>
                <w:lang w:val="sq-AL"/>
              </w:rPr>
              <w:tab/>
            </w:r>
          </w:p>
          <w:p w:rsidR="00C1352C" w:rsidRPr="00A6411D" w:rsidRDefault="00285681" w:rsidP="00243BA4">
            <w:pPr>
              <w:spacing w:line="276" w:lineRule="auto"/>
              <w:jc w:val="both"/>
              <w:rPr>
                <w:rFonts w:ascii="Times New Roman" w:hAnsi="Times New Roman" w:cs="Times New Roman"/>
                <w:b/>
              </w:rPr>
            </w:pPr>
            <w:r w:rsidRPr="00285681">
              <w:rPr>
                <w:rFonts w:ascii="Times New Roman" w:eastAsia="Times New Roman" w:hAnsi="Times New Roman" w:cs="Times New Roman"/>
                <w:b/>
                <w:bCs/>
                <w:lang w:val="sq-AL"/>
              </w:rPr>
              <w:t>Rregullorja përcakton kriteret dhe mënyrën e përzgjedhjes së organeve drejtuese të programeve specializuese dhe tutorëve.</w:t>
            </w:r>
          </w:p>
        </w:tc>
      </w:tr>
      <w:tr w:rsidR="00C1352C" w:rsidRPr="00A6411D" w:rsidTr="0043272C">
        <w:trPr>
          <w:trHeight w:val="395"/>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5972BF">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700CA3" w:rsidRPr="00A6411D" w:rsidTr="00A50EA8">
        <w:tc>
          <w:tcPr>
            <w:tcW w:w="3060" w:type="dxa"/>
          </w:tcPr>
          <w:p w:rsidR="00700CA3" w:rsidRPr="00285681" w:rsidRDefault="00285681" w:rsidP="0043272C">
            <w:pPr>
              <w:spacing w:line="276" w:lineRule="auto"/>
              <w:rPr>
                <w:rFonts w:ascii="Times New Roman" w:hAnsi="Times New Roman" w:cs="Times New Roman"/>
                <w:sz w:val="20"/>
                <w:szCs w:val="20"/>
              </w:rPr>
            </w:pPr>
            <w:r w:rsidRPr="00285681">
              <w:rPr>
                <w:rFonts w:ascii="Times New Roman" w:hAnsi="Times New Roman" w:cs="Times New Roman"/>
                <w:b/>
                <w:sz w:val="20"/>
                <w:szCs w:val="20"/>
              </w:rPr>
              <w:t>Kriteri 1:</w:t>
            </w:r>
            <w:r w:rsidRPr="00285681">
              <w:rPr>
                <w:rFonts w:ascii="Times New Roman" w:hAnsi="Times New Roman" w:cs="Times New Roman"/>
                <w:sz w:val="20"/>
                <w:szCs w:val="20"/>
              </w:rPr>
              <w:t xml:space="preserve"> Në rregullore pasqyrohen qartë kriteret dhe mënyra e përzgjedhjes së përgjegjësit të programit të specializimit, sipas </w:t>
            </w:r>
            <w:r w:rsidR="0043272C">
              <w:rPr>
                <w:rFonts w:ascii="Times New Roman" w:hAnsi="Times New Roman" w:cs="Times New Roman"/>
                <w:sz w:val="20"/>
                <w:szCs w:val="20"/>
              </w:rPr>
              <w:t>përcaktimeve në këto standarde.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285681" w:rsidRDefault="00285681" w:rsidP="0043272C">
            <w:pPr>
              <w:spacing w:line="276" w:lineRule="auto"/>
              <w:rPr>
                <w:rFonts w:ascii="Times New Roman" w:hAnsi="Times New Roman" w:cs="Times New Roman"/>
                <w:sz w:val="20"/>
                <w:szCs w:val="20"/>
              </w:rPr>
            </w:pPr>
            <w:r w:rsidRPr="00285681">
              <w:rPr>
                <w:rFonts w:ascii="Times New Roman" w:hAnsi="Times New Roman" w:cs="Times New Roman"/>
                <w:b/>
                <w:sz w:val="20"/>
                <w:szCs w:val="20"/>
              </w:rPr>
              <w:t>Kriteri 2:</w:t>
            </w:r>
            <w:r w:rsidRPr="00285681">
              <w:rPr>
                <w:rFonts w:ascii="Times New Roman" w:hAnsi="Times New Roman" w:cs="Times New Roman"/>
                <w:sz w:val="20"/>
                <w:szCs w:val="20"/>
              </w:rPr>
              <w:t xml:space="preserve"> Në rregullore përcaktohen kriteret dhe mënyra e përzgjedhjes së mjekut përgjegjës/tutor për çdo spe</w:t>
            </w:r>
            <w:r w:rsidR="0043272C">
              <w:rPr>
                <w:rFonts w:ascii="Times New Roman" w:hAnsi="Times New Roman" w:cs="Times New Roman"/>
                <w:sz w:val="20"/>
                <w:szCs w:val="20"/>
              </w:rPr>
              <w:t>cializant si dhe detyrat e tij.</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00CA3" w:rsidRPr="00A6411D" w:rsidRDefault="00700CA3"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II.6</w:t>
            </w:r>
            <w:r w:rsidRPr="00A6411D">
              <w:rPr>
                <w:rFonts w:ascii="Times New Roman" w:eastAsia="Times New Roman" w:hAnsi="Times New Roman" w:cs="Times New Roman"/>
                <w:b/>
                <w:bCs/>
                <w:lang w:val="sq-AL"/>
              </w:rPr>
              <w:tab/>
            </w:r>
          </w:p>
          <w:p w:rsidR="00C1352C" w:rsidRPr="00A6411D" w:rsidRDefault="00285681" w:rsidP="00243BA4">
            <w:pPr>
              <w:spacing w:line="276" w:lineRule="auto"/>
              <w:jc w:val="both"/>
              <w:rPr>
                <w:rFonts w:ascii="Times New Roman" w:hAnsi="Times New Roman" w:cs="Times New Roman"/>
                <w:b/>
              </w:rPr>
            </w:pPr>
            <w:r w:rsidRPr="00285681">
              <w:rPr>
                <w:rFonts w:ascii="Times New Roman" w:eastAsia="Times New Roman" w:hAnsi="Times New Roman" w:cs="Times New Roman"/>
                <w:b/>
                <w:bCs/>
                <w:color w:val="000000" w:themeColor="text1"/>
                <w:lang w:val="sq-AL"/>
              </w:rPr>
              <w:t>Në rregullore është përcaktuar qartë mënyra e pranimit të studentëve në programin e specializimit</w:t>
            </w:r>
            <w:r>
              <w:rPr>
                <w:rFonts w:ascii="Times New Roman" w:eastAsia="Times New Roman" w:hAnsi="Times New Roman" w:cs="Times New Roman"/>
                <w:b/>
                <w:bCs/>
                <w:color w:val="000000" w:themeColor="text1"/>
                <w:lang w:val="sq-AL"/>
              </w:rPr>
              <w:t>.</w:t>
            </w:r>
          </w:p>
        </w:tc>
      </w:tr>
      <w:tr w:rsidR="00C1352C" w:rsidRPr="00A6411D" w:rsidTr="0043272C">
        <w:trPr>
          <w:trHeight w:val="368"/>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5972BF">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700CA3" w:rsidRPr="00A6411D" w:rsidTr="00A50EA8">
        <w:tc>
          <w:tcPr>
            <w:tcW w:w="3060" w:type="dxa"/>
          </w:tcPr>
          <w:p w:rsidR="00700CA3" w:rsidRPr="00760F22" w:rsidRDefault="00760F22" w:rsidP="0043272C">
            <w:pPr>
              <w:spacing w:line="276" w:lineRule="auto"/>
              <w:rPr>
                <w:rFonts w:ascii="Times New Roman" w:hAnsi="Times New Roman" w:cs="Times New Roman"/>
                <w:sz w:val="20"/>
                <w:szCs w:val="20"/>
              </w:rPr>
            </w:pPr>
            <w:r w:rsidRPr="00760F22">
              <w:rPr>
                <w:rFonts w:ascii="Times New Roman" w:hAnsi="Times New Roman" w:cs="Times New Roman"/>
                <w:b/>
                <w:sz w:val="20"/>
                <w:szCs w:val="20"/>
              </w:rPr>
              <w:t>Kriteri 1:</w:t>
            </w:r>
            <w:r w:rsidRPr="00760F22">
              <w:rPr>
                <w:rFonts w:ascii="Times New Roman" w:hAnsi="Times New Roman" w:cs="Times New Roman"/>
                <w:sz w:val="20"/>
                <w:szCs w:val="20"/>
              </w:rPr>
              <w:t xml:space="preserve"> Në  rregullore  janë  përcaktuar  kriteret  për  aplikim  (niveli  i  studimeve  të kryera, kohëzgjatja dhe titulli i diplomës që kërkohet etj) si dhe kriteret</w:t>
            </w:r>
            <w:r w:rsidR="0043272C">
              <w:rPr>
                <w:rFonts w:ascii="Times New Roman" w:hAnsi="Times New Roman" w:cs="Times New Roman"/>
                <w:sz w:val="20"/>
                <w:szCs w:val="20"/>
              </w:rPr>
              <w:t xml:space="preserve"> përjashtuese nëse ka te tilla.</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760F22" w:rsidRDefault="00760F22" w:rsidP="0043272C">
            <w:pPr>
              <w:spacing w:line="276" w:lineRule="auto"/>
              <w:rPr>
                <w:rFonts w:ascii="Times New Roman" w:hAnsi="Times New Roman" w:cs="Times New Roman"/>
                <w:sz w:val="20"/>
                <w:szCs w:val="20"/>
              </w:rPr>
            </w:pPr>
            <w:r w:rsidRPr="00760F22">
              <w:rPr>
                <w:rFonts w:ascii="Times New Roman" w:hAnsi="Times New Roman" w:cs="Times New Roman"/>
                <w:b/>
                <w:sz w:val="20"/>
                <w:szCs w:val="20"/>
              </w:rPr>
              <w:t>Kriteri 2:</w:t>
            </w:r>
            <w:r w:rsidRPr="00760F22">
              <w:rPr>
                <w:rFonts w:ascii="Times New Roman" w:hAnsi="Times New Roman" w:cs="Times New Roman"/>
                <w:sz w:val="20"/>
                <w:szCs w:val="20"/>
              </w:rPr>
              <w:t xml:space="preserve"> Në rregullore përcaktohet qartë dokumentacioni që duhet të dorëzojë kandidati për aplikim, mënyra e dorëzimit të dokumentacioni</w:t>
            </w:r>
            <w:r w:rsidR="0043272C">
              <w:rPr>
                <w:rFonts w:ascii="Times New Roman" w:hAnsi="Times New Roman" w:cs="Times New Roman"/>
                <w:sz w:val="20"/>
                <w:szCs w:val="20"/>
              </w:rPr>
              <w:t>t dhe afati përfundimtar.</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760F22" w:rsidRDefault="00760F22" w:rsidP="0043272C">
            <w:pPr>
              <w:spacing w:line="276" w:lineRule="auto"/>
              <w:rPr>
                <w:rFonts w:ascii="Times New Roman" w:hAnsi="Times New Roman" w:cs="Times New Roman"/>
                <w:sz w:val="20"/>
                <w:szCs w:val="20"/>
              </w:rPr>
            </w:pPr>
            <w:r w:rsidRPr="00760F22">
              <w:rPr>
                <w:rFonts w:ascii="Times New Roman" w:hAnsi="Times New Roman" w:cs="Times New Roman"/>
                <w:b/>
                <w:sz w:val="20"/>
                <w:szCs w:val="20"/>
              </w:rPr>
              <w:t>Kriteri 3:</w:t>
            </w:r>
            <w:r w:rsidRPr="00760F22">
              <w:rPr>
                <w:rFonts w:ascii="Times New Roman" w:hAnsi="Times New Roman" w:cs="Times New Roman"/>
                <w:sz w:val="20"/>
                <w:szCs w:val="20"/>
              </w:rPr>
              <w:t xml:space="preserve"> Në rregullore janë përcaktuar qartë pikët maksimale që mund të grumbullojë kandidati dhe pikët që i jepen kandidatit për çdo kriter të plotësuar si dhe pikët maksimale dhe minimale që mund ti jepen kandidatit gjatë çdo testimi.</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760F22" w:rsidRDefault="00760F22" w:rsidP="0043272C">
            <w:pPr>
              <w:spacing w:line="276" w:lineRule="auto"/>
              <w:rPr>
                <w:rFonts w:ascii="Times New Roman" w:hAnsi="Times New Roman" w:cs="Times New Roman"/>
                <w:sz w:val="20"/>
                <w:szCs w:val="20"/>
              </w:rPr>
            </w:pPr>
            <w:r w:rsidRPr="00760F22">
              <w:rPr>
                <w:rFonts w:ascii="Times New Roman" w:hAnsi="Times New Roman" w:cs="Times New Roman"/>
                <w:b/>
                <w:sz w:val="20"/>
                <w:szCs w:val="20"/>
              </w:rPr>
              <w:t>Kriteri 4:</w:t>
            </w:r>
            <w:r w:rsidRPr="00760F22">
              <w:rPr>
                <w:rFonts w:ascii="Times New Roman" w:hAnsi="Times New Roman" w:cs="Times New Roman"/>
                <w:sz w:val="20"/>
                <w:szCs w:val="20"/>
              </w:rPr>
              <w:t xml:space="preserve"> Në rregullore përcaktohet qartë mënyra e aplikimit, e konkurrimit e kandidati për specializim; përcaktohet sa kohë para datës së shpallur për testimet</w:t>
            </w:r>
            <w:r w:rsidR="0043272C">
              <w:rPr>
                <w:rFonts w:ascii="Times New Roman" w:hAnsi="Times New Roman" w:cs="Times New Roman"/>
                <w:sz w:val="20"/>
                <w:szCs w:val="20"/>
              </w:rPr>
              <w:t xml:space="preserve"> mbyllet pranimi i dokumenteve.</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60F22" w:rsidRPr="00A6411D" w:rsidTr="00A50EA8">
        <w:tc>
          <w:tcPr>
            <w:tcW w:w="3060" w:type="dxa"/>
          </w:tcPr>
          <w:p w:rsidR="00760F22" w:rsidRPr="00760F22" w:rsidRDefault="00760F22" w:rsidP="00760F22">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5:</w:t>
            </w:r>
            <w:r w:rsidRPr="00760F22">
              <w:rPr>
                <w:rFonts w:ascii="Times New Roman" w:hAnsi="Times New Roman" w:cs="Times New Roman"/>
                <w:sz w:val="20"/>
                <w:szCs w:val="20"/>
              </w:rPr>
              <w:t xml:space="preserve"> Në rregullore është përcaktuar qartë mënyra e zhvillimit të t</w:t>
            </w:r>
            <w:r w:rsidR="0043272C">
              <w:rPr>
                <w:rFonts w:ascii="Times New Roman" w:hAnsi="Times New Roman" w:cs="Times New Roman"/>
                <w:sz w:val="20"/>
                <w:szCs w:val="20"/>
              </w:rPr>
              <w:t xml:space="preserve">estimeve dhe procedura e tyre. </w:t>
            </w: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760F22" w:rsidRPr="00760F22" w:rsidRDefault="00760F22" w:rsidP="00760F22">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6:</w:t>
            </w:r>
            <w:r w:rsidRPr="00760F22">
              <w:rPr>
                <w:rFonts w:ascii="Times New Roman" w:hAnsi="Times New Roman" w:cs="Times New Roman"/>
                <w:sz w:val="20"/>
                <w:szCs w:val="20"/>
              </w:rPr>
              <w:t xml:space="preserve"> Në rregullore përcaktohet qartë mënyra e vlerësimit të kandidatëve për çdo testim dhe dokumentacioni i përdorur i cili ruhet sipas procedurave</w:t>
            </w:r>
            <w:r w:rsidR="0043272C">
              <w:rPr>
                <w:rFonts w:ascii="Times New Roman" w:hAnsi="Times New Roman" w:cs="Times New Roman"/>
                <w:sz w:val="20"/>
                <w:szCs w:val="20"/>
              </w:rPr>
              <w:t xml:space="preserve"> të parashikuara në rregullore.</w:t>
            </w: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760F22" w:rsidRPr="00760F22" w:rsidRDefault="00760F22" w:rsidP="00760F22">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7:</w:t>
            </w:r>
            <w:r w:rsidRPr="00760F22">
              <w:rPr>
                <w:rFonts w:ascii="Times New Roman" w:hAnsi="Times New Roman" w:cs="Times New Roman"/>
                <w:sz w:val="20"/>
                <w:szCs w:val="20"/>
              </w:rPr>
              <w:t xml:space="preserve"> Emërtimet e programeve të specializimeve të miratuara për vitin akademik, numri i specializantëve që do të pranohen për çdo program specializimi dhe tarifat që duhet të paguajë specializanti për çdo specializim publikohen të paktën 2 javë përpara datë</w:t>
            </w:r>
            <w:r w:rsidR="0043272C">
              <w:rPr>
                <w:rFonts w:ascii="Times New Roman" w:hAnsi="Times New Roman" w:cs="Times New Roman"/>
                <w:sz w:val="20"/>
                <w:szCs w:val="20"/>
              </w:rPr>
              <w:t>s së fillimit të aplikimeve.</w:t>
            </w: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760F22" w:rsidRPr="00760F22" w:rsidRDefault="00760F22" w:rsidP="00760F22">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8:</w:t>
            </w:r>
            <w:r w:rsidRPr="00760F22">
              <w:rPr>
                <w:rFonts w:ascii="Times New Roman" w:hAnsi="Times New Roman" w:cs="Times New Roman"/>
                <w:sz w:val="20"/>
                <w:szCs w:val="20"/>
              </w:rPr>
              <w:t xml:space="preserve"> </w:t>
            </w:r>
            <w:r w:rsidR="00F07D05" w:rsidRPr="00760F22">
              <w:rPr>
                <w:rFonts w:ascii="Times New Roman" w:hAnsi="Times New Roman" w:cs="Times New Roman"/>
                <w:sz w:val="20"/>
                <w:szCs w:val="20"/>
              </w:rPr>
              <w:t>Mënyra e vlerësimit mbi të cilat kryhet testimi duhet të</w:t>
            </w:r>
            <w:r w:rsidRPr="00760F22">
              <w:rPr>
                <w:rFonts w:ascii="Times New Roman" w:hAnsi="Times New Roman" w:cs="Times New Roman"/>
                <w:sz w:val="20"/>
                <w:szCs w:val="20"/>
              </w:rPr>
              <w:t xml:space="preserve"> përcaktohen në rregullore dhe të publikohen të paktën 2 javë përpara d</w:t>
            </w:r>
            <w:r w:rsidR="0043272C">
              <w:rPr>
                <w:rFonts w:ascii="Times New Roman" w:hAnsi="Times New Roman" w:cs="Times New Roman"/>
                <w:sz w:val="20"/>
                <w:szCs w:val="20"/>
              </w:rPr>
              <w:t>atës së fillimit të aplikimeve.</w:t>
            </w: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760F22" w:rsidRPr="00760F22" w:rsidRDefault="00760F22" w:rsidP="00760F22">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9:</w:t>
            </w:r>
            <w:r w:rsidRPr="00760F22">
              <w:rPr>
                <w:rFonts w:ascii="Times New Roman" w:hAnsi="Times New Roman" w:cs="Times New Roman"/>
                <w:sz w:val="20"/>
                <w:szCs w:val="20"/>
              </w:rPr>
              <w:t xml:space="preserve"> Në  rregullore  është  përcaktuar  qartë  mënyra  dhe  afatet  e  shpalljes  së rezultateve të testeve dhe të listës përfundimtare me fituesit si dhe është përcaktuar vendi dhe d</w:t>
            </w:r>
            <w:r w:rsidR="0043272C">
              <w:rPr>
                <w:rFonts w:ascii="Times New Roman" w:hAnsi="Times New Roman" w:cs="Times New Roman"/>
                <w:sz w:val="20"/>
                <w:szCs w:val="20"/>
              </w:rPr>
              <w:t>ata e shpalljes së rezultateve.</w:t>
            </w: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760F22" w:rsidRPr="00760F22" w:rsidRDefault="00760F22" w:rsidP="00760F22">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10:</w:t>
            </w:r>
            <w:r w:rsidRPr="00760F22">
              <w:rPr>
                <w:rFonts w:ascii="Times New Roman" w:hAnsi="Times New Roman" w:cs="Times New Roman"/>
                <w:sz w:val="20"/>
                <w:szCs w:val="20"/>
              </w:rPr>
              <w:t xml:space="preserve"> Në   rregullore   përcaktohet   qartë   mënyra   e   lidhjes   së   kontra</w:t>
            </w:r>
            <w:r w:rsidR="0043272C">
              <w:rPr>
                <w:rFonts w:ascii="Times New Roman" w:hAnsi="Times New Roman" w:cs="Times New Roman"/>
                <w:sz w:val="20"/>
                <w:szCs w:val="20"/>
              </w:rPr>
              <w:t>tës   me specializantët fitues.</w:t>
            </w: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6134A2" w:rsidRPr="00A6411D" w:rsidRDefault="006134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717ED9" w:rsidRPr="00A6411D" w:rsidTr="00243BA4">
        <w:tc>
          <w:tcPr>
            <w:tcW w:w="9720" w:type="dxa"/>
            <w:gridSpan w:val="5"/>
            <w:shd w:val="clear" w:color="auto" w:fill="F7CAAC" w:themeFill="accent2" w:themeFillTint="66"/>
          </w:tcPr>
          <w:p w:rsidR="00717ED9" w:rsidRPr="00A6411D" w:rsidRDefault="00717ED9"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II.7</w:t>
            </w:r>
            <w:r w:rsidRPr="00A6411D">
              <w:rPr>
                <w:rFonts w:ascii="Times New Roman" w:eastAsia="Times New Roman" w:hAnsi="Times New Roman" w:cs="Times New Roman"/>
                <w:b/>
                <w:bCs/>
                <w:lang w:val="sq-AL"/>
              </w:rPr>
              <w:tab/>
            </w:r>
          </w:p>
          <w:p w:rsidR="00717ED9" w:rsidRPr="00A6411D" w:rsidRDefault="00750732" w:rsidP="00243BA4">
            <w:pPr>
              <w:spacing w:line="276" w:lineRule="auto"/>
              <w:jc w:val="both"/>
              <w:rPr>
                <w:rFonts w:ascii="Times New Roman" w:hAnsi="Times New Roman" w:cs="Times New Roman"/>
                <w:b/>
              </w:rPr>
            </w:pPr>
            <w:r>
              <w:rPr>
                <w:rFonts w:ascii="Times New Roman" w:eastAsia="Times New Roman" w:hAnsi="Times New Roman" w:cs="Times New Roman"/>
                <w:b/>
                <w:bCs/>
                <w:lang w:val="sq-AL"/>
              </w:rPr>
              <w:t xml:space="preserve">Në  rregullore </w:t>
            </w:r>
            <w:r w:rsidR="00F07D05" w:rsidRPr="00F07D05">
              <w:rPr>
                <w:rFonts w:ascii="Times New Roman" w:eastAsia="Times New Roman" w:hAnsi="Times New Roman" w:cs="Times New Roman"/>
                <w:b/>
                <w:bCs/>
                <w:lang w:val="sq-AL"/>
              </w:rPr>
              <w:t xml:space="preserve"> parashikohen element të procesit mës</w:t>
            </w:r>
            <w:r w:rsidR="00F07D05">
              <w:rPr>
                <w:rFonts w:ascii="Times New Roman" w:eastAsia="Times New Roman" w:hAnsi="Times New Roman" w:cs="Times New Roman"/>
                <w:b/>
                <w:bCs/>
                <w:lang w:val="sq-AL"/>
              </w:rPr>
              <w:t>imor të programit specializues .</w:t>
            </w:r>
          </w:p>
        </w:tc>
      </w:tr>
      <w:tr w:rsidR="00717ED9" w:rsidRPr="00A6411D" w:rsidTr="0043272C">
        <w:trPr>
          <w:trHeight w:val="395"/>
        </w:trPr>
        <w:tc>
          <w:tcPr>
            <w:tcW w:w="3060" w:type="dxa"/>
            <w:shd w:val="clear" w:color="auto" w:fill="C5E0B3" w:themeFill="accent6" w:themeFillTint="66"/>
          </w:tcPr>
          <w:p w:rsidR="00717ED9" w:rsidRPr="00A6411D" w:rsidRDefault="00717ED9"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717ED9" w:rsidRPr="00A6411D" w:rsidRDefault="00717ED9" w:rsidP="005972BF">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BA509A" w:rsidRPr="00A6411D" w:rsidTr="00A50EA8">
        <w:tc>
          <w:tcPr>
            <w:tcW w:w="3060" w:type="dxa"/>
          </w:tcPr>
          <w:p w:rsidR="00BA509A" w:rsidRPr="00F07D05" w:rsidRDefault="00F07D05" w:rsidP="0043272C">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1:</w:t>
            </w:r>
            <w:r w:rsidRPr="00F07D05">
              <w:rPr>
                <w:rFonts w:ascii="Times New Roman" w:hAnsi="Times New Roman" w:cs="Times New Roman"/>
                <w:sz w:val="20"/>
                <w:szCs w:val="20"/>
              </w:rPr>
              <w:t xml:space="preserve"> Parashikohen ne rregulloren e specializimeve mënyra e frekuentimit, maksimumi i mungesave të lejuara dhe arsyet, leja e lindjes, dhe mënyra </w:t>
            </w:r>
            <w:r w:rsidR="0043272C">
              <w:rPr>
                <w:rFonts w:ascii="Times New Roman" w:hAnsi="Times New Roman" w:cs="Times New Roman"/>
                <w:sz w:val="20"/>
                <w:szCs w:val="20"/>
              </w:rPr>
              <w:t>e rikuperimit të mungesave etj.</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F07D05" w:rsidRDefault="00F07D05" w:rsidP="0043272C">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2:</w:t>
            </w:r>
            <w:r w:rsidRPr="00F07D05">
              <w:rPr>
                <w:rFonts w:ascii="Times New Roman" w:hAnsi="Times New Roman" w:cs="Times New Roman"/>
                <w:sz w:val="20"/>
                <w:szCs w:val="20"/>
              </w:rPr>
              <w:t xml:space="preserve"> Parashikohen  ne rregulloren e specializimeve procedurat  për  transferimet  për  apo  nga  programe  te  tjera specializuese, ose për apo nga institucione të tjera që ofrojnë pro</w:t>
            </w:r>
            <w:r w:rsidR="0043272C">
              <w:rPr>
                <w:rFonts w:ascii="Times New Roman" w:hAnsi="Times New Roman" w:cs="Times New Roman"/>
                <w:sz w:val="20"/>
                <w:szCs w:val="20"/>
              </w:rPr>
              <w:t>grame specializuese në mjekësi.</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F07D05" w:rsidRDefault="00F07D05" w:rsidP="0043272C">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3:</w:t>
            </w:r>
            <w:r w:rsidRPr="00F07D05">
              <w:rPr>
                <w:rFonts w:ascii="Times New Roman" w:hAnsi="Times New Roman" w:cs="Times New Roman"/>
                <w:sz w:val="20"/>
                <w:szCs w:val="20"/>
              </w:rPr>
              <w:t xml:space="preserve"> Parashikohen ne rregulloren e specializimeve kriteret dhe mënyra e pezullimit, zgjatjes ose përjashtimit të specializan</w:t>
            </w:r>
            <w:r w:rsidR="0043272C">
              <w:rPr>
                <w:rFonts w:ascii="Times New Roman" w:hAnsi="Times New Roman" w:cs="Times New Roman"/>
                <w:sz w:val="20"/>
                <w:szCs w:val="20"/>
              </w:rPr>
              <w:t>tit nga studimet specializuese.</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F07D05" w:rsidRDefault="00F07D05" w:rsidP="0043272C">
            <w:pPr>
              <w:spacing w:line="276" w:lineRule="auto"/>
              <w:rPr>
                <w:rFonts w:ascii="Times New Roman" w:hAnsi="Times New Roman" w:cs="Times New Roman"/>
                <w:sz w:val="20"/>
                <w:szCs w:val="20"/>
              </w:rPr>
            </w:pPr>
            <w:r w:rsidRPr="00F07D05">
              <w:rPr>
                <w:rFonts w:ascii="Times New Roman" w:hAnsi="Times New Roman" w:cs="Times New Roman"/>
                <w:b/>
                <w:sz w:val="20"/>
                <w:szCs w:val="20"/>
              </w:rPr>
              <w:t>Kriteri 4:</w:t>
            </w:r>
            <w:r w:rsidRPr="00F07D05">
              <w:rPr>
                <w:rFonts w:ascii="Times New Roman" w:hAnsi="Times New Roman" w:cs="Times New Roman"/>
                <w:sz w:val="20"/>
                <w:szCs w:val="20"/>
              </w:rPr>
              <w:t xml:space="preserve"> Rregullorja  parashikon  rastet  kur  specializimi  mund  të  kryhet  në  një institucion tjetër që nuk është pjesë e rrjetit formues shqiptar, kohëzgjatjen e kësaj periudhe dhe organin aprovues të kësaj procedure. Këto institucione duhet të jenë të akredituara për kryerjen e programit s</w:t>
            </w:r>
            <w:r w:rsidR="0043272C">
              <w:rPr>
                <w:rFonts w:ascii="Times New Roman" w:hAnsi="Times New Roman" w:cs="Times New Roman"/>
                <w:sz w:val="20"/>
                <w:szCs w:val="20"/>
              </w:rPr>
              <w:t>pecializues në vendin përkatës.</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717ED9" w:rsidRPr="00A6411D" w:rsidTr="007066FC">
        <w:trPr>
          <w:trHeight w:val="315"/>
        </w:trPr>
        <w:tc>
          <w:tcPr>
            <w:tcW w:w="3060" w:type="dxa"/>
            <w:vMerge w:val="restart"/>
            <w:shd w:val="clear" w:color="auto" w:fill="F7CAAC" w:themeFill="accent2" w:themeFillTint="66"/>
          </w:tcPr>
          <w:p w:rsidR="00717ED9" w:rsidRPr="00A6411D" w:rsidRDefault="00717ED9" w:rsidP="00243BA4">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717ED9" w:rsidRPr="00A6411D" w:rsidRDefault="00717ED9"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717ED9" w:rsidRPr="00A6411D" w:rsidTr="007066FC">
        <w:trPr>
          <w:trHeight w:val="315"/>
        </w:trPr>
        <w:tc>
          <w:tcPr>
            <w:tcW w:w="3060" w:type="dxa"/>
            <w:vMerge/>
            <w:shd w:val="clear" w:color="auto" w:fill="F7CAAC" w:themeFill="accent2" w:themeFillTint="66"/>
          </w:tcPr>
          <w:p w:rsidR="00717ED9" w:rsidRPr="00A6411D" w:rsidRDefault="00717ED9" w:rsidP="00243BA4">
            <w:pPr>
              <w:spacing w:line="276" w:lineRule="auto"/>
              <w:rPr>
                <w:rFonts w:ascii="Times New Roman" w:hAnsi="Times New Roman" w:cs="Times New Roman"/>
                <w:b/>
              </w:rPr>
            </w:pPr>
          </w:p>
        </w:tc>
        <w:tc>
          <w:tcPr>
            <w:tcW w:w="1620" w:type="dxa"/>
          </w:tcPr>
          <w:p w:rsidR="00717ED9" w:rsidRPr="00A6411D" w:rsidRDefault="00717ED9" w:rsidP="00243BA4">
            <w:pPr>
              <w:spacing w:line="276" w:lineRule="auto"/>
              <w:jc w:val="both"/>
              <w:rPr>
                <w:rFonts w:ascii="Times New Roman" w:hAnsi="Times New Roman" w:cs="Times New Roman"/>
                <w:b/>
              </w:rPr>
            </w:pPr>
          </w:p>
        </w:tc>
        <w:tc>
          <w:tcPr>
            <w:tcW w:w="1443" w:type="dxa"/>
          </w:tcPr>
          <w:p w:rsidR="00717ED9" w:rsidRPr="00A6411D" w:rsidRDefault="00717ED9" w:rsidP="00243BA4">
            <w:pPr>
              <w:spacing w:line="276" w:lineRule="auto"/>
              <w:jc w:val="both"/>
              <w:rPr>
                <w:rFonts w:ascii="Times New Roman" w:hAnsi="Times New Roman" w:cs="Times New Roman"/>
                <w:b/>
              </w:rPr>
            </w:pPr>
          </w:p>
        </w:tc>
        <w:tc>
          <w:tcPr>
            <w:tcW w:w="1707" w:type="dxa"/>
          </w:tcPr>
          <w:p w:rsidR="00717ED9" w:rsidRPr="00A6411D" w:rsidRDefault="00717ED9" w:rsidP="00243BA4">
            <w:pPr>
              <w:spacing w:line="276" w:lineRule="auto"/>
              <w:jc w:val="both"/>
              <w:rPr>
                <w:rFonts w:ascii="Times New Roman" w:hAnsi="Times New Roman" w:cs="Times New Roman"/>
                <w:b/>
              </w:rPr>
            </w:pPr>
          </w:p>
        </w:tc>
        <w:tc>
          <w:tcPr>
            <w:tcW w:w="1890" w:type="dxa"/>
          </w:tcPr>
          <w:p w:rsidR="00717ED9" w:rsidRPr="00A6411D" w:rsidRDefault="00717ED9" w:rsidP="00243BA4">
            <w:pPr>
              <w:spacing w:line="276" w:lineRule="auto"/>
              <w:jc w:val="both"/>
              <w:rPr>
                <w:rFonts w:ascii="Times New Roman" w:hAnsi="Times New Roman" w:cs="Times New Roman"/>
                <w:b/>
              </w:rPr>
            </w:pPr>
          </w:p>
        </w:tc>
      </w:tr>
    </w:tbl>
    <w:p w:rsidR="00F07D05" w:rsidRDefault="00F07D0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F07D05" w:rsidRPr="00A6411D" w:rsidTr="00596BE2">
        <w:tc>
          <w:tcPr>
            <w:tcW w:w="9720" w:type="dxa"/>
            <w:gridSpan w:val="5"/>
            <w:shd w:val="clear" w:color="auto" w:fill="F7CAAC" w:themeFill="accent2"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II.8</w:t>
            </w:r>
            <w:r w:rsidRPr="00A6411D">
              <w:rPr>
                <w:rFonts w:ascii="Times New Roman" w:eastAsia="Times New Roman" w:hAnsi="Times New Roman" w:cs="Times New Roman"/>
                <w:b/>
                <w:bCs/>
                <w:lang w:val="sq-AL"/>
              </w:rPr>
              <w:tab/>
            </w:r>
          </w:p>
          <w:p w:rsidR="00F07D05" w:rsidRPr="00A6411D" w:rsidRDefault="00F07D05" w:rsidP="00596BE2">
            <w:pPr>
              <w:spacing w:line="276" w:lineRule="auto"/>
              <w:jc w:val="both"/>
              <w:rPr>
                <w:rFonts w:ascii="Times New Roman" w:hAnsi="Times New Roman" w:cs="Times New Roman"/>
                <w:b/>
              </w:rPr>
            </w:pPr>
            <w:r w:rsidRPr="00F07D05">
              <w:rPr>
                <w:rFonts w:ascii="Times New Roman" w:eastAsia="Times New Roman" w:hAnsi="Times New Roman" w:cs="Times New Roman"/>
                <w:b/>
                <w:bCs/>
                <w:lang w:val="sq-AL"/>
              </w:rPr>
              <w:t>Në   rregullore   parashikohen element të procesit mës</w:t>
            </w:r>
            <w:r>
              <w:rPr>
                <w:rFonts w:ascii="Times New Roman" w:eastAsia="Times New Roman" w:hAnsi="Times New Roman" w:cs="Times New Roman"/>
                <w:b/>
                <w:bCs/>
                <w:lang w:val="sq-AL"/>
              </w:rPr>
              <w:t>imor të programit specializues .</w:t>
            </w:r>
          </w:p>
        </w:tc>
      </w:tr>
      <w:tr w:rsidR="00F07D05" w:rsidRPr="00A6411D" w:rsidTr="0043272C">
        <w:trPr>
          <w:trHeight w:hRule="exact" w:val="352"/>
        </w:trPr>
        <w:tc>
          <w:tcPr>
            <w:tcW w:w="3060" w:type="dxa"/>
            <w:shd w:val="clear" w:color="auto" w:fill="C5E0B3" w:themeFill="accent6"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F07D05" w:rsidRPr="00A6411D" w:rsidRDefault="00F07D05" w:rsidP="005972BF">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F07D05" w:rsidRPr="00A6411D" w:rsidTr="00596BE2">
        <w:tc>
          <w:tcPr>
            <w:tcW w:w="3060" w:type="dxa"/>
          </w:tcPr>
          <w:p w:rsidR="00F07D05" w:rsidRPr="00F07D05" w:rsidRDefault="00F07D05" w:rsidP="0043272C">
            <w:pPr>
              <w:spacing w:line="276" w:lineRule="auto"/>
              <w:rPr>
                <w:rFonts w:ascii="Times New Roman" w:hAnsi="Times New Roman" w:cs="Times New Roman"/>
                <w:sz w:val="20"/>
                <w:szCs w:val="20"/>
              </w:rPr>
            </w:pPr>
            <w:r w:rsidRPr="00280621">
              <w:rPr>
                <w:rFonts w:ascii="Times New Roman" w:hAnsi="Times New Roman" w:cs="Times New Roman"/>
                <w:b/>
                <w:sz w:val="20"/>
                <w:szCs w:val="20"/>
              </w:rPr>
              <w:t>Kriteri 1:</w:t>
            </w:r>
            <w:r w:rsidRPr="00280621">
              <w:rPr>
                <w:rFonts w:ascii="Times New Roman" w:hAnsi="Times New Roman" w:cs="Times New Roman"/>
                <w:sz w:val="20"/>
                <w:szCs w:val="20"/>
              </w:rPr>
              <w:t xml:space="preserve"> </w:t>
            </w:r>
            <w:r w:rsidR="00280621" w:rsidRPr="00280621">
              <w:rPr>
                <w:rFonts w:ascii="Times New Roman" w:hAnsi="Times New Roman" w:cs="Times New Roman"/>
                <w:sz w:val="20"/>
                <w:szCs w:val="20"/>
              </w:rPr>
              <w:t>Rregullorja parashikon librezën e aktivitetit praktik së studentit, mënyrën e plotësimit të saj dhe mënyrën e zëvendësimit të saj në rast humbje. Libreza e studentit e shoqëron atë deri në përfundim të ciklit spec</w:t>
            </w:r>
            <w:r w:rsidR="0043272C">
              <w:rPr>
                <w:rFonts w:ascii="Times New Roman" w:hAnsi="Times New Roman" w:cs="Times New Roman"/>
                <w:sz w:val="20"/>
                <w:szCs w:val="20"/>
              </w:rPr>
              <w:t>ializues dhe diplomimit të tij.</w:t>
            </w: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596BE2">
        <w:trPr>
          <w:trHeight w:val="315"/>
        </w:trPr>
        <w:tc>
          <w:tcPr>
            <w:tcW w:w="3060" w:type="dxa"/>
            <w:vMerge w:val="restart"/>
            <w:shd w:val="clear" w:color="auto" w:fill="F7CAAC" w:themeFill="accent2" w:themeFillTint="66"/>
          </w:tcPr>
          <w:p w:rsidR="00F07D05" w:rsidRPr="00A6411D" w:rsidRDefault="00F07D05" w:rsidP="00596BE2">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F07D05" w:rsidRPr="00A6411D" w:rsidTr="00596BE2">
        <w:trPr>
          <w:trHeight w:val="315"/>
        </w:trPr>
        <w:tc>
          <w:tcPr>
            <w:tcW w:w="3060" w:type="dxa"/>
            <w:vMerge/>
            <w:shd w:val="clear" w:color="auto" w:fill="F7CAAC" w:themeFill="accent2" w:themeFillTint="66"/>
          </w:tcPr>
          <w:p w:rsidR="00F07D05" w:rsidRPr="00A6411D" w:rsidRDefault="00F07D05" w:rsidP="00596BE2">
            <w:pPr>
              <w:spacing w:line="276" w:lineRule="auto"/>
              <w:rPr>
                <w:rFonts w:ascii="Times New Roman" w:hAnsi="Times New Roman" w:cs="Times New Roman"/>
                <w:b/>
              </w:rPr>
            </w:pPr>
          </w:p>
        </w:tc>
        <w:tc>
          <w:tcPr>
            <w:tcW w:w="1620" w:type="dxa"/>
          </w:tcPr>
          <w:p w:rsidR="00F07D05" w:rsidRPr="00A6411D" w:rsidRDefault="00F07D05" w:rsidP="00596BE2">
            <w:pPr>
              <w:spacing w:line="276" w:lineRule="auto"/>
              <w:jc w:val="both"/>
              <w:rPr>
                <w:rFonts w:ascii="Times New Roman" w:hAnsi="Times New Roman" w:cs="Times New Roman"/>
                <w:b/>
              </w:rPr>
            </w:pPr>
          </w:p>
        </w:tc>
        <w:tc>
          <w:tcPr>
            <w:tcW w:w="1443" w:type="dxa"/>
          </w:tcPr>
          <w:p w:rsidR="00F07D05" w:rsidRPr="00A6411D" w:rsidRDefault="00F07D05" w:rsidP="00596BE2">
            <w:pPr>
              <w:spacing w:line="276" w:lineRule="auto"/>
              <w:jc w:val="both"/>
              <w:rPr>
                <w:rFonts w:ascii="Times New Roman" w:hAnsi="Times New Roman" w:cs="Times New Roman"/>
                <w:b/>
              </w:rPr>
            </w:pPr>
          </w:p>
        </w:tc>
        <w:tc>
          <w:tcPr>
            <w:tcW w:w="1707" w:type="dxa"/>
          </w:tcPr>
          <w:p w:rsidR="00F07D05" w:rsidRPr="00A6411D" w:rsidRDefault="00F07D05" w:rsidP="00596BE2">
            <w:pPr>
              <w:spacing w:line="276" w:lineRule="auto"/>
              <w:jc w:val="both"/>
              <w:rPr>
                <w:rFonts w:ascii="Times New Roman" w:hAnsi="Times New Roman" w:cs="Times New Roman"/>
                <w:b/>
              </w:rPr>
            </w:pPr>
          </w:p>
        </w:tc>
        <w:tc>
          <w:tcPr>
            <w:tcW w:w="1890" w:type="dxa"/>
          </w:tcPr>
          <w:p w:rsidR="00F07D05" w:rsidRPr="00A6411D" w:rsidRDefault="00F07D05" w:rsidP="00596BE2">
            <w:pPr>
              <w:spacing w:line="276" w:lineRule="auto"/>
              <w:jc w:val="both"/>
              <w:rPr>
                <w:rFonts w:ascii="Times New Roman" w:hAnsi="Times New Roman" w:cs="Times New Roman"/>
                <w:b/>
              </w:rPr>
            </w:pPr>
          </w:p>
        </w:tc>
      </w:tr>
    </w:tbl>
    <w:p w:rsidR="00F07D05" w:rsidRDefault="00F07D0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F07D05" w:rsidRPr="00A6411D" w:rsidTr="00596BE2">
        <w:tc>
          <w:tcPr>
            <w:tcW w:w="9720" w:type="dxa"/>
            <w:gridSpan w:val="5"/>
            <w:shd w:val="clear" w:color="auto" w:fill="F7CAAC" w:themeFill="accent2"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II.9</w:t>
            </w:r>
            <w:r w:rsidRPr="00A6411D">
              <w:rPr>
                <w:rFonts w:ascii="Times New Roman" w:eastAsia="Times New Roman" w:hAnsi="Times New Roman" w:cs="Times New Roman"/>
                <w:b/>
                <w:bCs/>
                <w:lang w:val="sq-AL"/>
              </w:rPr>
              <w:tab/>
            </w:r>
          </w:p>
          <w:p w:rsidR="00F07D05" w:rsidRPr="00A6411D" w:rsidRDefault="00BE4940" w:rsidP="00596BE2">
            <w:pPr>
              <w:spacing w:line="276" w:lineRule="auto"/>
              <w:jc w:val="both"/>
              <w:rPr>
                <w:rFonts w:ascii="Times New Roman" w:hAnsi="Times New Roman" w:cs="Times New Roman"/>
                <w:b/>
              </w:rPr>
            </w:pPr>
            <w:r w:rsidRPr="00BE4940">
              <w:rPr>
                <w:rFonts w:ascii="Times New Roman" w:eastAsia="Times New Roman" w:hAnsi="Times New Roman" w:cs="Times New Roman"/>
                <w:b/>
                <w:bCs/>
                <w:lang w:val="sq-AL"/>
              </w:rPr>
              <w:t>Në rregullore parashikohen procedurat për testimet vjetore dhe testimin përfundimtar si dhe formati i diplomës.</w:t>
            </w:r>
          </w:p>
        </w:tc>
      </w:tr>
      <w:tr w:rsidR="00F07D05" w:rsidRPr="00A6411D" w:rsidTr="0043272C">
        <w:trPr>
          <w:trHeight w:val="377"/>
        </w:trPr>
        <w:tc>
          <w:tcPr>
            <w:tcW w:w="3060" w:type="dxa"/>
            <w:shd w:val="clear" w:color="auto" w:fill="C5E0B3" w:themeFill="accent6"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F07D05" w:rsidRPr="00A6411D" w:rsidRDefault="00F07D05" w:rsidP="005972BF">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F07D05" w:rsidRPr="00A6411D" w:rsidTr="00596BE2">
        <w:tc>
          <w:tcPr>
            <w:tcW w:w="3060" w:type="dxa"/>
          </w:tcPr>
          <w:p w:rsidR="00F07D05" w:rsidRPr="003F21F8" w:rsidRDefault="003F21F8" w:rsidP="0043272C">
            <w:pPr>
              <w:spacing w:line="276" w:lineRule="auto"/>
              <w:rPr>
                <w:rFonts w:ascii="Times New Roman" w:hAnsi="Times New Roman" w:cs="Times New Roman"/>
                <w:sz w:val="20"/>
                <w:szCs w:val="20"/>
              </w:rPr>
            </w:pPr>
            <w:r w:rsidRPr="003F21F8">
              <w:rPr>
                <w:rFonts w:ascii="Times New Roman" w:hAnsi="Times New Roman" w:cs="Times New Roman"/>
                <w:b/>
                <w:sz w:val="20"/>
                <w:szCs w:val="20"/>
              </w:rPr>
              <w:t>Kriteri 1:</w:t>
            </w:r>
            <w:r w:rsidRPr="003F21F8">
              <w:rPr>
                <w:rFonts w:ascii="Times New Roman" w:hAnsi="Times New Roman" w:cs="Times New Roman"/>
                <w:sz w:val="20"/>
                <w:szCs w:val="20"/>
              </w:rPr>
              <w:t xml:space="preserve"> Në  rregullore  përcaktohet  mënyra  e  testimit  vjetor të lëndëve  dhe ai  përfundimtar  të specializantëve, pikët minimale dhe maksimale, lloji i testit, </w:t>
            </w:r>
            <w:r w:rsidR="0043272C">
              <w:rPr>
                <w:rFonts w:ascii="Times New Roman" w:hAnsi="Times New Roman" w:cs="Times New Roman"/>
                <w:sz w:val="20"/>
                <w:szCs w:val="20"/>
              </w:rPr>
              <w:t>etj.</w:t>
            </w: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596BE2">
        <w:tc>
          <w:tcPr>
            <w:tcW w:w="3060" w:type="dxa"/>
          </w:tcPr>
          <w:p w:rsidR="00F07D05" w:rsidRPr="003F21F8" w:rsidRDefault="00F07D05" w:rsidP="0043272C">
            <w:pPr>
              <w:spacing w:line="276" w:lineRule="auto"/>
              <w:rPr>
                <w:rFonts w:ascii="Times New Roman" w:hAnsi="Times New Roman" w:cs="Times New Roman"/>
                <w:sz w:val="20"/>
                <w:szCs w:val="20"/>
              </w:rPr>
            </w:pPr>
            <w:r w:rsidRPr="003F21F8">
              <w:rPr>
                <w:rFonts w:ascii="Times New Roman" w:hAnsi="Times New Roman" w:cs="Times New Roman"/>
                <w:b/>
                <w:sz w:val="20"/>
                <w:szCs w:val="20"/>
              </w:rPr>
              <w:t>Kriteri 2:</w:t>
            </w:r>
            <w:r w:rsidRPr="003F21F8">
              <w:rPr>
                <w:rFonts w:ascii="Times New Roman" w:hAnsi="Times New Roman" w:cs="Times New Roman"/>
                <w:sz w:val="20"/>
                <w:szCs w:val="20"/>
              </w:rPr>
              <w:t xml:space="preserve"> </w:t>
            </w:r>
            <w:r w:rsidR="003F21F8" w:rsidRPr="003F21F8">
              <w:rPr>
                <w:rFonts w:ascii="Times New Roman" w:hAnsi="Times New Roman" w:cs="Times New Roman"/>
                <w:sz w:val="20"/>
                <w:szCs w:val="20"/>
              </w:rPr>
              <w:t>Në rregullore përcaktohen rastet e mungesave të justifikuara në testime dhe mënyra e rikuperimit të testimit në këto raste.</w:t>
            </w: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596BE2">
        <w:tc>
          <w:tcPr>
            <w:tcW w:w="3060" w:type="dxa"/>
          </w:tcPr>
          <w:p w:rsidR="00F07D05" w:rsidRPr="003F21F8" w:rsidRDefault="00F07D05" w:rsidP="0043272C">
            <w:pPr>
              <w:spacing w:line="276" w:lineRule="auto"/>
              <w:rPr>
                <w:rFonts w:ascii="Times New Roman" w:hAnsi="Times New Roman" w:cs="Times New Roman"/>
                <w:sz w:val="20"/>
                <w:szCs w:val="20"/>
              </w:rPr>
            </w:pPr>
            <w:r w:rsidRPr="003F21F8">
              <w:rPr>
                <w:rFonts w:ascii="Times New Roman" w:hAnsi="Times New Roman" w:cs="Times New Roman"/>
                <w:b/>
                <w:sz w:val="20"/>
                <w:szCs w:val="20"/>
              </w:rPr>
              <w:t>Kriteri 3:</w:t>
            </w:r>
            <w:r w:rsidRPr="003F21F8">
              <w:rPr>
                <w:rFonts w:ascii="Times New Roman" w:hAnsi="Times New Roman" w:cs="Times New Roman"/>
                <w:sz w:val="20"/>
                <w:szCs w:val="20"/>
              </w:rPr>
              <w:t xml:space="preserve"> </w:t>
            </w:r>
            <w:r w:rsidR="003F21F8" w:rsidRPr="003F21F8">
              <w:rPr>
                <w:rFonts w:ascii="Times New Roman" w:hAnsi="Times New Roman" w:cs="Times New Roman"/>
                <w:sz w:val="20"/>
                <w:szCs w:val="20"/>
              </w:rPr>
              <w:t>Në përfundim të studimeve të specializimit afatgjatë, I diplomuari pajiset me diplomën e specializimit. Diploma duhet të firmoset nga rektori i IAL dhe dekani i fakultetit përkatës</w:t>
            </w: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596BE2">
        <w:trPr>
          <w:trHeight w:val="315"/>
        </w:trPr>
        <w:tc>
          <w:tcPr>
            <w:tcW w:w="3060" w:type="dxa"/>
            <w:vMerge w:val="restart"/>
            <w:shd w:val="clear" w:color="auto" w:fill="F7CAAC" w:themeFill="accent2" w:themeFillTint="66"/>
          </w:tcPr>
          <w:p w:rsidR="00F07D05" w:rsidRPr="00A6411D" w:rsidRDefault="00F07D05" w:rsidP="00596BE2">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F07D05" w:rsidRPr="00A6411D" w:rsidTr="00596BE2">
        <w:trPr>
          <w:trHeight w:val="315"/>
        </w:trPr>
        <w:tc>
          <w:tcPr>
            <w:tcW w:w="3060" w:type="dxa"/>
            <w:vMerge/>
            <w:shd w:val="clear" w:color="auto" w:fill="F7CAAC" w:themeFill="accent2" w:themeFillTint="66"/>
          </w:tcPr>
          <w:p w:rsidR="00F07D05" w:rsidRPr="00A6411D" w:rsidRDefault="00F07D05" w:rsidP="00596BE2">
            <w:pPr>
              <w:spacing w:line="276" w:lineRule="auto"/>
              <w:rPr>
                <w:rFonts w:ascii="Times New Roman" w:hAnsi="Times New Roman" w:cs="Times New Roman"/>
                <w:b/>
              </w:rPr>
            </w:pPr>
          </w:p>
        </w:tc>
        <w:tc>
          <w:tcPr>
            <w:tcW w:w="1620" w:type="dxa"/>
          </w:tcPr>
          <w:p w:rsidR="00F07D05" w:rsidRPr="00A6411D" w:rsidRDefault="00F07D05" w:rsidP="00596BE2">
            <w:pPr>
              <w:spacing w:line="276" w:lineRule="auto"/>
              <w:jc w:val="both"/>
              <w:rPr>
                <w:rFonts w:ascii="Times New Roman" w:hAnsi="Times New Roman" w:cs="Times New Roman"/>
                <w:b/>
              </w:rPr>
            </w:pPr>
          </w:p>
        </w:tc>
        <w:tc>
          <w:tcPr>
            <w:tcW w:w="1443" w:type="dxa"/>
          </w:tcPr>
          <w:p w:rsidR="00F07D05" w:rsidRPr="00A6411D" w:rsidRDefault="00F07D05" w:rsidP="00596BE2">
            <w:pPr>
              <w:spacing w:line="276" w:lineRule="auto"/>
              <w:jc w:val="both"/>
              <w:rPr>
                <w:rFonts w:ascii="Times New Roman" w:hAnsi="Times New Roman" w:cs="Times New Roman"/>
                <w:b/>
              </w:rPr>
            </w:pPr>
          </w:p>
        </w:tc>
        <w:tc>
          <w:tcPr>
            <w:tcW w:w="1707" w:type="dxa"/>
          </w:tcPr>
          <w:p w:rsidR="00F07D05" w:rsidRPr="00A6411D" w:rsidRDefault="00F07D05" w:rsidP="00596BE2">
            <w:pPr>
              <w:spacing w:line="276" w:lineRule="auto"/>
              <w:jc w:val="both"/>
              <w:rPr>
                <w:rFonts w:ascii="Times New Roman" w:hAnsi="Times New Roman" w:cs="Times New Roman"/>
                <w:b/>
              </w:rPr>
            </w:pPr>
          </w:p>
        </w:tc>
        <w:tc>
          <w:tcPr>
            <w:tcW w:w="1890" w:type="dxa"/>
          </w:tcPr>
          <w:p w:rsidR="00F07D05" w:rsidRPr="00A6411D" w:rsidRDefault="00F07D05" w:rsidP="00596BE2">
            <w:pPr>
              <w:spacing w:line="276" w:lineRule="auto"/>
              <w:jc w:val="both"/>
              <w:rPr>
                <w:rFonts w:ascii="Times New Roman" w:hAnsi="Times New Roman" w:cs="Times New Roman"/>
                <w:b/>
              </w:rPr>
            </w:pPr>
          </w:p>
        </w:tc>
      </w:tr>
    </w:tbl>
    <w:p w:rsidR="00F07D05" w:rsidRDefault="00F07D0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58"/>
        <w:gridCol w:w="1620"/>
        <w:gridCol w:w="1443"/>
        <w:gridCol w:w="1710"/>
        <w:gridCol w:w="1889"/>
      </w:tblGrid>
      <w:tr w:rsidR="00F07D05" w:rsidRPr="00A6411D" w:rsidTr="00596BE2">
        <w:tc>
          <w:tcPr>
            <w:tcW w:w="9720" w:type="dxa"/>
            <w:gridSpan w:val="5"/>
            <w:shd w:val="clear" w:color="auto" w:fill="F7CAAC" w:themeFill="accent2"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II.10</w:t>
            </w:r>
            <w:r w:rsidRPr="00A6411D">
              <w:rPr>
                <w:rFonts w:ascii="Times New Roman" w:eastAsia="Times New Roman" w:hAnsi="Times New Roman" w:cs="Times New Roman"/>
                <w:b/>
                <w:bCs/>
                <w:lang w:val="sq-AL"/>
              </w:rPr>
              <w:tab/>
            </w:r>
          </w:p>
          <w:p w:rsidR="00F07D05" w:rsidRPr="00A6411D" w:rsidRDefault="003F21F8" w:rsidP="00596BE2">
            <w:pPr>
              <w:spacing w:line="276" w:lineRule="auto"/>
              <w:jc w:val="both"/>
              <w:rPr>
                <w:rFonts w:ascii="Times New Roman" w:hAnsi="Times New Roman" w:cs="Times New Roman"/>
                <w:b/>
              </w:rPr>
            </w:pPr>
            <w:r w:rsidRPr="003F21F8">
              <w:rPr>
                <w:rFonts w:ascii="Times New Roman" w:eastAsia="Times New Roman" w:hAnsi="Times New Roman" w:cs="Times New Roman"/>
                <w:b/>
                <w:bCs/>
                <w:lang w:val="sq-AL"/>
              </w:rPr>
              <w:t>Të drejtat dhe detyrimet e specializantit.</w:t>
            </w:r>
          </w:p>
        </w:tc>
      </w:tr>
      <w:tr w:rsidR="00F07D05" w:rsidRPr="00A6411D" w:rsidTr="0043272C">
        <w:trPr>
          <w:trHeight w:val="395"/>
        </w:trPr>
        <w:tc>
          <w:tcPr>
            <w:tcW w:w="3058" w:type="dxa"/>
            <w:shd w:val="clear" w:color="auto" w:fill="C5E0B3" w:themeFill="accent6"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2" w:type="dxa"/>
            <w:gridSpan w:val="4"/>
            <w:shd w:val="clear" w:color="auto" w:fill="C5E0B3" w:themeFill="accent6" w:themeFillTint="66"/>
          </w:tcPr>
          <w:p w:rsidR="00F07D05" w:rsidRPr="00A6411D" w:rsidRDefault="00F07D05" w:rsidP="005972BF">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F07D05" w:rsidRPr="00A6411D" w:rsidTr="00036E0D">
        <w:tc>
          <w:tcPr>
            <w:tcW w:w="3058" w:type="dxa"/>
          </w:tcPr>
          <w:p w:rsidR="00F07D05" w:rsidRPr="00036E0D" w:rsidRDefault="00036E0D"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1:</w:t>
            </w:r>
            <w:r w:rsidRPr="00036E0D">
              <w:rPr>
                <w:rFonts w:ascii="Times New Roman" w:hAnsi="Times New Roman" w:cs="Times New Roman"/>
                <w:sz w:val="20"/>
                <w:szCs w:val="20"/>
              </w:rPr>
              <w:t xml:space="preserve"> Rregullorja duhet të përmbajë detyrat dhe </w:t>
            </w:r>
            <w:r w:rsidR="0043272C">
              <w:rPr>
                <w:rFonts w:ascii="Times New Roman" w:hAnsi="Times New Roman" w:cs="Times New Roman"/>
                <w:sz w:val="20"/>
                <w:szCs w:val="20"/>
              </w:rPr>
              <w:t>të drejtat që ka specializanti.</w:t>
            </w: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c>
          <w:tcPr>
            <w:tcW w:w="3058" w:type="dxa"/>
          </w:tcPr>
          <w:p w:rsidR="00F07D05" w:rsidRPr="00036E0D" w:rsidRDefault="00036E0D"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2:</w:t>
            </w:r>
            <w:r w:rsidRPr="00036E0D">
              <w:rPr>
                <w:rFonts w:ascii="Times New Roman" w:hAnsi="Times New Roman" w:cs="Times New Roman"/>
                <w:sz w:val="20"/>
                <w:szCs w:val="20"/>
              </w:rPr>
              <w:t xml:space="preserve"> Në rregullore përcaktohet tipologjia dhe mënyra e sigurimit të specializantëve gjatë kryerjes së specializimit. Parashikohet tipi i policës së sigurimit dh</w:t>
            </w:r>
            <w:r w:rsidR="0043272C">
              <w:rPr>
                <w:rFonts w:ascii="Times New Roman" w:hAnsi="Times New Roman" w:cs="Times New Roman"/>
                <w:sz w:val="20"/>
                <w:szCs w:val="20"/>
              </w:rPr>
              <w:t>e masa e mbulimit.</w:t>
            </w: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c>
          <w:tcPr>
            <w:tcW w:w="3058" w:type="dxa"/>
          </w:tcPr>
          <w:p w:rsidR="00F07D05" w:rsidRPr="00036E0D" w:rsidRDefault="00036E0D"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3:</w:t>
            </w:r>
            <w:r w:rsidRPr="00036E0D">
              <w:rPr>
                <w:rFonts w:ascii="Times New Roman" w:hAnsi="Times New Roman" w:cs="Times New Roman"/>
                <w:sz w:val="20"/>
                <w:szCs w:val="20"/>
              </w:rPr>
              <w:t xml:space="preserve"> Parashikohen   rastet   kur   mund   të   pezullohet   specializimi   nga   ana   e specializantit dhe periudha maksimale e lejuar për pezullim, si dhe procedurat për </w:t>
            </w:r>
            <w:r w:rsidR="0043272C">
              <w:rPr>
                <w:rFonts w:ascii="Times New Roman" w:hAnsi="Times New Roman" w:cs="Times New Roman"/>
                <w:sz w:val="20"/>
                <w:szCs w:val="20"/>
              </w:rPr>
              <w:t>të hequr dorë nga specializimi.</w:t>
            </w: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c>
          <w:tcPr>
            <w:tcW w:w="3058" w:type="dxa"/>
          </w:tcPr>
          <w:p w:rsidR="00F07D05" w:rsidRPr="00036E0D" w:rsidRDefault="00036E0D"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4:</w:t>
            </w:r>
            <w:r w:rsidRPr="00036E0D">
              <w:rPr>
                <w:rFonts w:ascii="Times New Roman" w:hAnsi="Times New Roman" w:cs="Times New Roman"/>
                <w:sz w:val="20"/>
                <w:szCs w:val="20"/>
              </w:rPr>
              <w:t xml:space="preserve"> Në rregullore përcaktohen tregues të matshëm lidhur me plagjiaturën të punimit të diplomës si dhe referenca lidhura me to duke u kujdesur që niveli i ngjashmërisë të punimi</w:t>
            </w:r>
            <w:r w:rsidR="0043272C">
              <w:rPr>
                <w:rFonts w:ascii="Times New Roman" w:hAnsi="Times New Roman" w:cs="Times New Roman"/>
                <w:sz w:val="20"/>
                <w:szCs w:val="20"/>
              </w:rPr>
              <w:t xml:space="preserve">t të diplomës të jenë nën 30%. </w:t>
            </w: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rPr>
          <w:trHeight w:val="315"/>
        </w:trPr>
        <w:tc>
          <w:tcPr>
            <w:tcW w:w="3058" w:type="dxa"/>
            <w:vMerge w:val="restart"/>
            <w:shd w:val="clear" w:color="auto" w:fill="F7CAAC" w:themeFill="accent2" w:themeFillTint="66"/>
          </w:tcPr>
          <w:p w:rsidR="00F07D05" w:rsidRPr="00A6411D" w:rsidRDefault="00F07D05" w:rsidP="00596BE2">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89" w:type="dxa"/>
            <w:shd w:val="clear" w:color="auto" w:fill="92D050"/>
          </w:tcPr>
          <w:p w:rsidR="00F07D05" w:rsidRPr="00A6411D" w:rsidRDefault="00F07D05" w:rsidP="00596BE2">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F07D05" w:rsidRPr="00A6411D" w:rsidTr="00036E0D">
        <w:trPr>
          <w:trHeight w:val="315"/>
        </w:trPr>
        <w:tc>
          <w:tcPr>
            <w:tcW w:w="3058" w:type="dxa"/>
            <w:vMerge/>
            <w:shd w:val="clear" w:color="auto" w:fill="F7CAAC" w:themeFill="accent2" w:themeFillTint="66"/>
          </w:tcPr>
          <w:p w:rsidR="00F07D05" w:rsidRPr="00A6411D" w:rsidRDefault="00F07D05" w:rsidP="00596BE2">
            <w:pPr>
              <w:spacing w:line="276" w:lineRule="auto"/>
              <w:rPr>
                <w:rFonts w:ascii="Times New Roman" w:hAnsi="Times New Roman" w:cs="Times New Roman"/>
                <w:b/>
              </w:rPr>
            </w:pPr>
          </w:p>
        </w:tc>
        <w:tc>
          <w:tcPr>
            <w:tcW w:w="1620" w:type="dxa"/>
          </w:tcPr>
          <w:p w:rsidR="00F07D05" w:rsidRPr="00A6411D" w:rsidRDefault="00F07D05" w:rsidP="00596BE2">
            <w:pPr>
              <w:spacing w:line="276" w:lineRule="auto"/>
              <w:jc w:val="both"/>
              <w:rPr>
                <w:rFonts w:ascii="Times New Roman" w:hAnsi="Times New Roman" w:cs="Times New Roman"/>
                <w:b/>
              </w:rPr>
            </w:pPr>
          </w:p>
        </w:tc>
        <w:tc>
          <w:tcPr>
            <w:tcW w:w="1443" w:type="dxa"/>
          </w:tcPr>
          <w:p w:rsidR="00F07D05" w:rsidRPr="00A6411D" w:rsidRDefault="00F07D05" w:rsidP="00596BE2">
            <w:pPr>
              <w:spacing w:line="276" w:lineRule="auto"/>
              <w:jc w:val="both"/>
              <w:rPr>
                <w:rFonts w:ascii="Times New Roman" w:hAnsi="Times New Roman" w:cs="Times New Roman"/>
                <w:b/>
              </w:rPr>
            </w:pPr>
          </w:p>
        </w:tc>
        <w:tc>
          <w:tcPr>
            <w:tcW w:w="1710" w:type="dxa"/>
          </w:tcPr>
          <w:p w:rsidR="00F07D05" w:rsidRPr="00A6411D" w:rsidRDefault="00F07D05" w:rsidP="00596BE2">
            <w:pPr>
              <w:spacing w:line="276" w:lineRule="auto"/>
              <w:jc w:val="both"/>
              <w:rPr>
                <w:rFonts w:ascii="Times New Roman" w:hAnsi="Times New Roman" w:cs="Times New Roman"/>
                <w:b/>
              </w:rPr>
            </w:pPr>
          </w:p>
        </w:tc>
        <w:tc>
          <w:tcPr>
            <w:tcW w:w="1889" w:type="dxa"/>
          </w:tcPr>
          <w:p w:rsidR="00F07D05" w:rsidRPr="00A6411D" w:rsidRDefault="00F07D05" w:rsidP="00596BE2">
            <w:pPr>
              <w:spacing w:line="276" w:lineRule="auto"/>
              <w:jc w:val="both"/>
              <w:rPr>
                <w:rFonts w:ascii="Times New Roman" w:hAnsi="Times New Roman" w:cs="Times New Roman"/>
                <w:b/>
              </w:rPr>
            </w:pPr>
          </w:p>
        </w:tc>
      </w:tr>
    </w:tbl>
    <w:p w:rsidR="00750732" w:rsidRDefault="00750732"/>
    <w:tbl>
      <w:tblPr>
        <w:tblStyle w:val="TableGrid"/>
        <w:tblW w:w="9720" w:type="dxa"/>
        <w:tblInd w:w="-185" w:type="dxa"/>
        <w:tblLook w:val="04A0" w:firstRow="1" w:lastRow="0" w:firstColumn="1" w:lastColumn="0" w:noHBand="0" w:noVBand="1"/>
      </w:tblPr>
      <w:tblGrid>
        <w:gridCol w:w="3058"/>
        <w:gridCol w:w="1620"/>
        <w:gridCol w:w="1443"/>
        <w:gridCol w:w="1710"/>
        <w:gridCol w:w="1889"/>
      </w:tblGrid>
      <w:tr w:rsidR="00750732" w:rsidRPr="00A6411D" w:rsidTr="00596BE2">
        <w:tc>
          <w:tcPr>
            <w:tcW w:w="9720" w:type="dxa"/>
            <w:gridSpan w:val="5"/>
            <w:shd w:val="clear" w:color="auto" w:fill="F7CAAC" w:themeFill="accent2" w:themeFillTint="66"/>
          </w:tcPr>
          <w:p w:rsidR="00750732" w:rsidRPr="00A6411D" w:rsidRDefault="00750732"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II.11</w:t>
            </w:r>
            <w:r w:rsidRPr="00A6411D">
              <w:rPr>
                <w:rFonts w:ascii="Times New Roman" w:eastAsia="Times New Roman" w:hAnsi="Times New Roman" w:cs="Times New Roman"/>
                <w:b/>
                <w:bCs/>
                <w:lang w:val="sq-AL"/>
              </w:rPr>
              <w:tab/>
            </w:r>
          </w:p>
          <w:p w:rsidR="00750732" w:rsidRPr="00A6411D" w:rsidRDefault="00750732" w:rsidP="00596BE2">
            <w:pPr>
              <w:spacing w:line="276" w:lineRule="auto"/>
              <w:jc w:val="both"/>
              <w:rPr>
                <w:rFonts w:ascii="Times New Roman" w:hAnsi="Times New Roman" w:cs="Times New Roman"/>
                <w:b/>
              </w:rPr>
            </w:pPr>
            <w:r w:rsidRPr="00750732">
              <w:rPr>
                <w:rFonts w:ascii="Times New Roman" w:eastAsia="Times New Roman" w:hAnsi="Times New Roman" w:cs="Times New Roman"/>
                <w:b/>
                <w:bCs/>
                <w:lang w:val="sq-AL"/>
              </w:rPr>
              <w:t>Njësia kryesore përgjegjëse për programin e specializimit administron të gjithë dokumentacionin e nevojshëm për çdo specializant nga aplikimi, pranimi deri përfundim të studimeve</w:t>
            </w:r>
            <w:r>
              <w:rPr>
                <w:rFonts w:ascii="Times New Roman" w:eastAsia="Times New Roman" w:hAnsi="Times New Roman" w:cs="Times New Roman"/>
                <w:b/>
                <w:bCs/>
                <w:lang w:val="sq-AL"/>
              </w:rPr>
              <w:t>.</w:t>
            </w:r>
          </w:p>
        </w:tc>
      </w:tr>
      <w:tr w:rsidR="00750732" w:rsidRPr="00A6411D" w:rsidTr="0043272C">
        <w:trPr>
          <w:trHeight w:val="368"/>
        </w:trPr>
        <w:tc>
          <w:tcPr>
            <w:tcW w:w="3058" w:type="dxa"/>
            <w:shd w:val="clear" w:color="auto" w:fill="C5E0B3" w:themeFill="accent6" w:themeFillTint="66"/>
          </w:tcPr>
          <w:p w:rsidR="00750732" w:rsidRPr="00A6411D" w:rsidRDefault="00750732" w:rsidP="00596BE2">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2" w:type="dxa"/>
            <w:gridSpan w:val="4"/>
            <w:shd w:val="clear" w:color="auto" w:fill="C5E0B3" w:themeFill="accent6" w:themeFillTint="66"/>
          </w:tcPr>
          <w:p w:rsidR="00750732" w:rsidRPr="00A6411D" w:rsidRDefault="00750732" w:rsidP="005972BF">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750732" w:rsidRPr="00A6411D" w:rsidTr="00596BE2">
        <w:tc>
          <w:tcPr>
            <w:tcW w:w="3058" w:type="dxa"/>
          </w:tcPr>
          <w:p w:rsidR="00750732" w:rsidRPr="00750732" w:rsidRDefault="00750732"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1:</w:t>
            </w:r>
            <w:r w:rsidRPr="00750732">
              <w:rPr>
                <w:rFonts w:ascii="Times New Roman" w:hAnsi="Times New Roman" w:cs="Times New Roman"/>
                <w:sz w:val="20"/>
                <w:szCs w:val="20"/>
              </w:rPr>
              <w:t xml:space="preserve"> Njësia kryesore mban në formë elektronike dhe në letër të gjithë dokumentacionin e ap</w:t>
            </w:r>
            <w:r w:rsidR="0043272C">
              <w:rPr>
                <w:rFonts w:ascii="Times New Roman" w:hAnsi="Times New Roman" w:cs="Times New Roman"/>
                <w:sz w:val="20"/>
                <w:szCs w:val="20"/>
              </w:rPr>
              <w:t>likantëve në fazën e aplikimit.</w:t>
            </w: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750732" w:rsidRPr="00750732" w:rsidRDefault="00750732"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2:</w:t>
            </w:r>
            <w:r w:rsidRPr="00750732">
              <w:rPr>
                <w:rFonts w:ascii="Times New Roman" w:hAnsi="Times New Roman" w:cs="Times New Roman"/>
                <w:sz w:val="20"/>
                <w:szCs w:val="20"/>
              </w:rPr>
              <w:t xml:space="preserve"> Njësia kryesore mban në formë elektronike dhe në letër të gjithë dokumentacionin e procesit të përzgjedhjes dhe vendimmarrjes të kandidatëve aplikantë dhe fitues dhe garanton transparencë në vendim</w:t>
            </w:r>
            <w:r w:rsidR="0043272C">
              <w:rPr>
                <w:rFonts w:ascii="Times New Roman" w:hAnsi="Times New Roman" w:cs="Times New Roman"/>
                <w:sz w:val="20"/>
                <w:szCs w:val="20"/>
              </w:rPr>
              <w:t xml:space="preserve">marrje e proceset e ankimimit. </w:t>
            </w: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750732" w:rsidRPr="00750732" w:rsidRDefault="00750732" w:rsidP="0043272C">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3:</w:t>
            </w:r>
            <w:r w:rsidRPr="00750732">
              <w:rPr>
                <w:rFonts w:ascii="Times New Roman" w:hAnsi="Times New Roman" w:cs="Times New Roman"/>
                <w:sz w:val="20"/>
                <w:szCs w:val="20"/>
              </w:rPr>
              <w:t xml:space="preserve"> Njësia kryesore mban në formë elektronike dhe në letër të dhënat e çdo specializanti në lidhje me veprimtaritë akademike dhe kërkimore eksperimentale gjatë gj</w:t>
            </w:r>
            <w:r w:rsidR="0043272C">
              <w:rPr>
                <w:rFonts w:ascii="Times New Roman" w:hAnsi="Times New Roman" w:cs="Times New Roman"/>
                <w:sz w:val="20"/>
                <w:szCs w:val="20"/>
              </w:rPr>
              <w:t>ithë kohëzgjatjes së studimeve.</w:t>
            </w: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750732" w:rsidRPr="00750732" w:rsidRDefault="00750732" w:rsidP="00750732">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4:</w:t>
            </w:r>
            <w:r w:rsidRPr="00750732">
              <w:rPr>
                <w:rFonts w:ascii="Times New Roman" w:hAnsi="Times New Roman" w:cs="Times New Roman"/>
                <w:sz w:val="20"/>
                <w:szCs w:val="20"/>
              </w:rPr>
              <w:t xml:space="preserve"> Njësia kryesore mban në formë elektronike dhe në letër raportimet, komunikimet zyrtare, vlerësimet e lëndëve dhe </w:t>
            </w:r>
            <w:r w:rsidR="0043272C">
              <w:rPr>
                <w:rFonts w:ascii="Times New Roman" w:hAnsi="Times New Roman" w:cs="Times New Roman"/>
                <w:sz w:val="20"/>
                <w:szCs w:val="20"/>
              </w:rPr>
              <w:t>të progresit të specializantit.</w:t>
            </w: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750732" w:rsidRPr="00750732" w:rsidRDefault="00750732" w:rsidP="00750732">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5:</w:t>
            </w:r>
            <w:r w:rsidRPr="00750732">
              <w:rPr>
                <w:rFonts w:ascii="Times New Roman" w:hAnsi="Times New Roman" w:cs="Times New Roman"/>
                <w:sz w:val="20"/>
                <w:szCs w:val="20"/>
              </w:rPr>
              <w:t xml:space="preserve"> Njësia kryesore ve në dispozicion të studentëve sistemin elektronik antiplagjiaturë si dhe mekanizma tjerë të vetëkontrollit për eliminimin e plagjiaturës dhe respektimin e të dre</w:t>
            </w:r>
            <w:r w:rsidR="0043272C">
              <w:rPr>
                <w:rFonts w:ascii="Times New Roman" w:hAnsi="Times New Roman" w:cs="Times New Roman"/>
                <w:sz w:val="20"/>
                <w:szCs w:val="20"/>
              </w:rPr>
              <w:t>jtës së pronësisë intelektuale.</w:t>
            </w: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750732" w:rsidRPr="00750732" w:rsidRDefault="00750732" w:rsidP="00750732">
            <w:pPr>
              <w:spacing w:line="276" w:lineRule="auto"/>
              <w:rPr>
                <w:rFonts w:ascii="Times New Roman" w:hAnsi="Times New Roman" w:cs="Times New Roman"/>
                <w:sz w:val="20"/>
                <w:szCs w:val="20"/>
              </w:rPr>
            </w:pPr>
            <w:r w:rsidRPr="00750732">
              <w:rPr>
                <w:rFonts w:ascii="Times New Roman" w:hAnsi="Times New Roman" w:cs="Times New Roman"/>
                <w:b/>
                <w:sz w:val="20"/>
                <w:szCs w:val="20"/>
              </w:rPr>
              <w:t>Kriteri 6:</w:t>
            </w:r>
            <w:r w:rsidRPr="00750732">
              <w:rPr>
                <w:rFonts w:ascii="Times New Roman" w:hAnsi="Times New Roman" w:cs="Times New Roman"/>
                <w:sz w:val="20"/>
                <w:szCs w:val="20"/>
              </w:rPr>
              <w:t xml:space="preserve"> Njësia kryesore harton në mënyrë periodike raportime mbi ecurin</w:t>
            </w:r>
            <w:r w:rsidR="0043272C">
              <w:rPr>
                <w:rFonts w:ascii="Times New Roman" w:hAnsi="Times New Roman" w:cs="Times New Roman"/>
                <w:sz w:val="20"/>
                <w:szCs w:val="20"/>
              </w:rPr>
              <w:t>ë e programit të specializimit.</w:t>
            </w: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rPr>
          <w:trHeight w:val="315"/>
        </w:trPr>
        <w:tc>
          <w:tcPr>
            <w:tcW w:w="3058" w:type="dxa"/>
            <w:vMerge w:val="restart"/>
            <w:shd w:val="clear" w:color="auto" w:fill="F7CAAC" w:themeFill="accent2" w:themeFillTint="66"/>
          </w:tcPr>
          <w:p w:rsidR="00750732" w:rsidRPr="00A6411D" w:rsidRDefault="00750732" w:rsidP="00596BE2">
            <w:pPr>
              <w:spacing w:line="276" w:lineRule="auto"/>
              <w:rPr>
                <w:rFonts w:ascii="Times New Roman" w:hAnsi="Times New Roman" w:cs="Times New Roman"/>
                <w:b/>
              </w:rPr>
            </w:pPr>
            <w:r w:rsidRPr="00A6411D">
              <w:rPr>
                <w:rFonts w:ascii="Times New Roman" w:hAnsi="Times New Roman" w:cs="Times New Roman"/>
                <w:b/>
              </w:rPr>
              <w:t>Shkalla e përmbushjes sëstandardit</w:t>
            </w:r>
          </w:p>
        </w:tc>
        <w:tc>
          <w:tcPr>
            <w:tcW w:w="1620" w:type="dxa"/>
            <w:shd w:val="clear" w:color="auto" w:fill="FF0000"/>
          </w:tcPr>
          <w:p w:rsidR="00750732" w:rsidRPr="00A6411D" w:rsidRDefault="00750732" w:rsidP="00596BE2">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750732" w:rsidRPr="00A6411D" w:rsidRDefault="00750732" w:rsidP="00596BE2">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750732" w:rsidRPr="00A6411D" w:rsidRDefault="00750732" w:rsidP="00596BE2">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89" w:type="dxa"/>
            <w:shd w:val="clear" w:color="auto" w:fill="92D050"/>
          </w:tcPr>
          <w:p w:rsidR="00750732" w:rsidRPr="00A6411D" w:rsidRDefault="00750732" w:rsidP="00596BE2">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750732" w:rsidRPr="00A6411D" w:rsidTr="00596BE2">
        <w:trPr>
          <w:trHeight w:val="315"/>
        </w:trPr>
        <w:tc>
          <w:tcPr>
            <w:tcW w:w="3058" w:type="dxa"/>
            <w:vMerge/>
            <w:shd w:val="clear" w:color="auto" w:fill="F7CAAC" w:themeFill="accent2" w:themeFillTint="66"/>
          </w:tcPr>
          <w:p w:rsidR="00750732" w:rsidRPr="00A6411D" w:rsidRDefault="00750732" w:rsidP="00596BE2">
            <w:pPr>
              <w:spacing w:line="276" w:lineRule="auto"/>
              <w:rPr>
                <w:rFonts w:ascii="Times New Roman" w:hAnsi="Times New Roman" w:cs="Times New Roman"/>
                <w:b/>
              </w:rPr>
            </w:pPr>
          </w:p>
        </w:tc>
        <w:tc>
          <w:tcPr>
            <w:tcW w:w="1620" w:type="dxa"/>
          </w:tcPr>
          <w:p w:rsidR="00750732" w:rsidRPr="00A6411D" w:rsidRDefault="00750732" w:rsidP="00596BE2">
            <w:pPr>
              <w:spacing w:line="276" w:lineRule="auto"/>
              <w:jc w:val="both"/>
              <w:rPr>
                <w:rFonts w:ascii="Times New Roman" w:hAnsi="Times New Roman" w:cs="Times New Roman"/>
                <w:b/>
              </w:rPr>
            </w:pPr>
          </w:p>
        </w:tc>
        <w:tc>
          <w:tcPr>
            <w:tcW w:w="1443" w:type="dxa"/>
          </w:tcPr>
          <w:p w:rsidR="00750732" w:rsidRPr="00A6411D" w:rsidRDefault="00750732" w:rsidP="00596BE2">
            <w:pPr>
              <w:spacing w:line="276" w:lineRule="auto"/>
              <w:jc w:val="both"/>
              <w:rPr>
                <w:rFonts w:ascii="Times New Roman" w:hAnsi="Times New Roman" w:cs="Times New Roman"/>
                <w:b/>
              </w:rPr>
            </w:pPr>
          </w:p>
        </w:tc>
        <w:tc>
          <w:tcPr>
            <w:tcW w:w="1710" w:type="dxa"/>
          </w:tcPr>
          <w:p w:rsidR="00750732" w:rsidRPr="00A6411D" w:rsidRDefault="00750732" w:rsidP="00596BE2">
            <w:pPr>
              <w:spacing w:line="276" w:lineRule="auto"/>
              <w:jc w:val="both"/>
              <w:rPr>
                <w:rFonts w:ascii="Times New Roman" w:hAnsi="Times New Roman" w:cs="Times New Roman"/>
                <w:b/>
              </w:rPr>
            </w:pPr>
          </w:p>
        </w:tc>
        <w:tc>
          <w:tcPr>
            <w:tcW w:w="1889" w:type="dxa"/>
          </w:tcPr>
          <w:p w:rsidR="00750732" w:rsidRPr="00A6411D" w:rsidRDefault="00750732" w:rsidP="00596BE2">
            <w:pPr>
              <w:spacing w:line="276" w:lineRule="auto"/>
              <w:jc w:val="both"/>
              <w:rPr>
                <w:rFonts w:ascii="Times New Roman" w:hAnsi="Times New Roman" w:cs="Times New Roman"/>
                <w:b/>
              </w:rPr>
            </w:pPr>
          </w:p>
        </w:tc>
      </w:tr>
    </w:tbl>
    <w:p w:rsidR="007F3BC7" w:rsidRDefault="007F3BC7"/>
    <w:tbl>
      <w:tblPr>
        <w:tblStyle w:val="TableGrid"/>
        <w:tblW w:w="9720" w:type="dxa"/>
        <w:tblInd w:w="-185" w:type="dxa"/>
        <w:tblLook w:val="04A0" w:firstRow="1" w:lastRow="0" w:firstColumn="1" w:lastColumn="0" w:noHBand="0" w:noVBand="1"/>
      </w:tblPr>
      <w:tblGrid>
        <w:gridCol w:w="3081"/>
        <w:gridCol w:w="1507"/>
        <w:gridCol w:w="1533"/>
        <w:gridCol w:w="1710"/>
        <w:gridCol w:w="1889"/>
      </w:tblGrid>
      <w:tr w:rsidR="00C1352C" w:rsidRPr="00A6411D" w:rsidTr="00036E0D">
        <w:trPr>
          <w:trHeight w:val="315"/>
        </w:trPr>
        <w:tc>
          <w:tcPr>
            <w:tcW w:w="3081" w:type="dxa"/>
            <w:vMerge w:val="restart"/>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standardeve të fushës II</w:t>
            </w:r>
          </w:p>
        </w:tc>
        <w:tc>
          <w:tcPr>
            <w:tcW w:w="1507"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533"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89"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036E0D">
        <w:trPr>
          <w:trHeight w:val="315"/>
        </w:trPr>
        <w:tc>
          <w:tcPr>
            <w:tcW w:w="3081" w:type="dxa"/>
            <w:vMerge/>
          </w:tcPr>
          <w:p w:rsidR="00C1352C" w:rsidRPr="00A6411D" w:rsidRDefault="00C1352C" w:rsidP="00243BA4">
            <w:pPr>
              <w:spacing w:line="276" w:lineRule="auto"/>
              <w:rPr>
                <w:rFonts w:ascii="Times New Roman" w:hAnsi="Times New Roman" w:cs="Times New Roman"/>
                <w:b/>
              </w:rPr>
            </w:pPr>
          </w:p>
        </w:tc>
        <w:tc>
          <w:tcPr>
            <w:tcW w:w="1507" w:type="dxa"/>
          </w:tcPr>
          <w:p w:rsidR="00C1352C" w:rsidRPr="00A6411D" w:rsidRDefault="00C1352C" w:rsidP="00243BA4">
            <w:pPr>
              <w:spacing w:line="276" w:lineRule="auto"/>
              <w:jc w:val="both"/>
              <w:rPr>
                <w:rFonts w:ascii="Times New Roman" w:hAnsi="Times New Roman" w:cs="Times New Roman"/>
                <w:b/>
              </w:rPr>
            </w:pPr>
          </w:p>
        </w:tc>
        <w:tc>
          <w:tcPr>
            <w:tcW w:w="1533"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89" w:type="dxa"/>
          </w:tcPr>
          <w:p w:rsidR="00C1352C" w:rsidRPr="00A6411D"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hAnsi="Times New Roman" w:cs="Times New Roman"/>
          <w:b/>
          <w:sz w:val="28"/>
          <w:szCs w:val="28"/>
        </w:rPr>
      </w:pPr>
    </w:p>
    <w:p w:rsidR="0043272C" w:rsidRDefault="0043272C" w:rsidP="00C1352C">
      <w:pPr>
        <w:rPr>
          <w:rFonts w:ascii="Times New Roman" w:hAnsi="Times New Roman" w:cs="Times New Roman"/>
          <w:b/>
          <w:sz w:val="28"/>
          <w:szCs w:val="28"/>
        </w:rPr>
      </w:pPr>
    </w:p>
    <w:p w:rsidR="0043272C" w:rsidRDefault="0043272C" w:rsidP="00C1352C">
      <w:pPr>
        <w:rPr>
          <w:rFonts w:ascii="Times New Roman" w:hAnsi="Times New Roman" w:cs="Times New Roman"/>
          <w:b/>
          <w:sz w:val="28"/>
          <w:szCs w:val="28"/>
        </w:rPr>
      </w:pPr>
    </w:p>
    <w:p w:rsidR="00C1352C" w:rsidRPr="00CE578C" w:rsidRDefault="00750732"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750732">
        <w:rPr>
          <w:rFonts w:ascii="Times New Roman" w:hAnsi="Times New Roman" w:cs="Times New Roman"/>
          <w:b/>
          <w:sz w:val="24"/>
          <w:szCs w:val="24"/>
          <w:lang w:val="sq-AL"/>
        </w:rPr>
        <w:t>BURIMET NË FUNKSION TË PROGRAMIT SPECIALIZIM AFATGJATË</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III.1 </w:t>
            </w:r>
          </w:p>
          <w:p w:rsidR="00C1352C" w:rsidRPr="00500475" w:rsidRDefault="00AF79E3" w:rsidP="00301624">
            <w:pPr>
              <w:spacing w:line="276" w:lineRule="auto"/>
              <w:jc w:val="both"/>
              <w:rPr>
                <w:rFonts w:ascii="Times New Roman" w:hAnsi="Times New Roman" w:cs="Times New Roman"/>
                <w:b/>
                <w:lang w:val="sq-AL"/>
              </w:rPr>
            </w:pPr>
            <w:r w:rsidRPr="00AF79E3">
              <w:rPr>
                <w:rFonts w:ascii="Times New Roman" w:eastAsia="Times New Roman" w:hAnsi="Times New Roman" w:cs="Times New Roman"/>
                <w:b/>
                <w:bCs/>
                <w:lang w:val="sq-AL"/>
              </w:rPr>
              <w:t>Njësia përgjegjëse garanton personelin e nevojshëm akademik, administrativ dhe mbështetës për zhvillimin e programit dhe realizimin e objektivave të tij</w:t>
            </w:r>
            <w:r>
              <w:rPr>
                <w:rFonts w:ascii="Times New Roman" w:eastAsia="Times New Roman" w:hAnsi="Times New Roman" w:cs="Times New Roman"/>
                <w:b/>
                <w:bCs/>
                <w:lang w:val="sq-AL"/>
              </w:rPr>
              <w:t>.</w:t>
            </w:r>
          </w:p>
        </w:tc>
      </w:tr>
      <w:tr w:rsidR="00C1352C" w:rsidRPr="00500475" w:rsidTr="00BE7F06">
        <w:trPr>
          <w:trHeight w:val="350"/>
        </w:trPr>
        <w:tc>
          <w:tcPr>
            <w:tcW w:w="3235"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5" w:type="dxa"/>
            <w:gridSpan w:val="4"/>
            <w:shd w:val="clear" w:color="auto" w:fill="C5E0B3" w:themeFill="accent6" w:themeFillTint="66"/>
          </w:tcPr>
          <w:p w:rsidR="00C1352C" w:rsidRPr="00500475" w:rsidRDefault="00C1352C" w:rsidP="005972BF">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35" w:type="dxa"/>
          </w:tcPr>
          <w:p w:rsidR="00BA509A" w:rsidRPr="00A1240E" w:rsidRDefault="00AF79E3" w:rsidP="004E47AC">
            <w:pPr>
              <w:spacing w:line="276" w:lineRule="auto"/>
              <w:rPr>
                <w:rFonts w:ascii="Times New Roman" w:hAnsi="Times New Roman" w:cs="Times New Roman"/>
                <w:sz w:val="20"/>
                <w:szCs w:val="20"/>
              </w:rPr>
            </w:pPr>
            <w:r w:rsidRPr="00A1240E">
              <w:rPr>
                <w:rFonts w:ascii="Times New Roman" w:hAnsi="Times New Roman" w:cs="Times New Roman"/>
                <w:b/>
                <w:sz w:val="20"/>
                <w:szCs w:val="20"/>
              </w:rPr>
              <w:t>Kriteri 1:</w:t>
            </w:r>
            <w:r w:rsidRPr="00A1240E">
              <w:rPr>
                <w:rFonts w:ascii="Times New Roman" w:hAnsi="Times New Roman" w:cs="Times New Roman"/>
                <w:sz w:val="20"/>
                <w:szCs w:val="20"/>
              </w:rPr>
              <w:t xml:space="preserve"> Personeli akademik i angazhuar në programin e specializimit afatgjatë është i kategorisë profesor (profesor, profesor i asociuar), i kategorisë lektor (Dr/Phd), të cilët janë të angazhuar me punë klinike/diagnostikuese të paktën 10 vite </w:t>
            </w:r>
            <w:r w:rsidR="004E47AC">
              <w:rPr>
                <w:rFonts w:ascii="Times New Roman" w:hAnsi="Times New Roman" w:cs="Times New Roman"/>
                <w:sz w:val="20"/>
                <w:szCs w:val="20"/>
              </w:rPr>
              <w:t xml:space="preserve">eksperiencë.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AF79E3" w:rsidRPr="00A1240E" w:rsidRDefault="00AF79E3" w:rsidP="00A1240E">
            <w:pPr>
              <w:spacing w:line="276" w:lineRule="auto"/>
              <w:rPr>
                <w:rFonts w:ascii="Times New Roman" w:hAnsi="Times New Roman" w:cs="Times New Roman"/>
                <w:sz w:val="20"/>
                <w:szCs w:val="20"/>
              </w:rPr>
            </w:pPr>
            <w:r w:rsidRPr="00A1240E">
              <w:rPr>
                <w:rFonts w:ascii="Times New Roman" w:hAnsi="Times New Roman" w:cs="Times New Roman"/>
                <w:b/>
                <w:sz w:val="20"/>
                <w:szCs w:val="20"/>
              </w:rPr>
              <w:t>Kriteri 2:</w:t>
            </w:r>
            <w:r w:rsidRPr="00A1240E">
              <w:rPr>
                <w:rFonts w:ascii="Times New Roman" w:hAnsi="Times New Roman" w:cs="Times New Roman"/>
                <w:sz w:val="20"/>
                <w:szCs w:val="20"/>
              </w:rPr>
              <w:t xml:space="preserve"> Në çdo program specializues përcaktohen:</w:t>
            </w:r>
          </w:p>
          <w:p w:rsidR="00BA509A" w:rsidRPr="00A1240E" w:rsidRDefault="00AF79E3" w:rsidP="004E47AC">
            <w:pPr>
              <w:spacing w:line="276" w:lineRule="auto"/>
              <w:rPr>
                <w:rFonts w:ascii="Times New Roman" w:hAnsi="Times New Roman" w:cs="Times New Roman"/>
                <w:sz w:val="20"/>
                <w:szCs w:val="20"/>
              </w:rPr>
            </w:pPr>
            <w:r w:rsidRPr="00A1240E">
              <w:rPr>
                <w:rFonts w:ascii="Times New Roman" w:hAnsi="Times New Roman" w:cs="Times New Roman"/>
                <w:sz w:val="20"/>
                <w:szCs w:val="20"/>
              </w:rPr>
              <w:t>Një figurë drejtuese, përgjegjësi/</w:t>
            </w:r>
            <w:r w:rsidR="00A1240E" w:rsidRPr="00A1240E">
              <w:rPr>
                <w:rFonts w:ascii="Times New Roman" w:hAnsi="Times New Roman" w:cs="Times New Roman"/>
                <w:sz w:val="20"/>
                <w:szCs w:val="20"/>
              </w:rPr>
              <w:t>drejtuesi i</w:t>
            </w:r>
            <w:r w:rsidRPr="00A1240E">
              <w:rPr>
                <w:rFonts w:ascii="Times New Roman" w:hAnsi="Times New Roman" w:cs="Times New Roman"/>
                <w:sz w:val="20"/>
                <w:szCs w:val="20"/>
              </w:rPr>
              <w:t xml:space="preserve"> programit të specializimit. Përgjegjësi/drejtuesi i programit të specializimit duhet te jete pedagog me kohe te plote ne fushën përkatëse, të ketë të paktën titullin “Profesor i asociuar” dhe jo me pak se 10 vjet përvojë në ushtrimin e profesionit. Kjo figure propozohet nga njësia baze përgjegjëse dhe miratohe</w:t>
            </w:r>
            <w:r w:rsidR="004E47AC">
              <w:rPr>
                <w:rFonts w:ascii="Times New Roman" w:hAnsi="Times New Roman" w:cs="Times New Roman"/>
                <w:sz w:val="20"/>
                <w:szCs w:val="20"/>
              </w:rPr>
              <w:t>t ne nivel te njësisë kryesore.</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AF79E3" w:rsidRPr="00A1240E" w:rsidRDefault="00AF79E3" w:rsidP="00A1240E">
            <w:pPr>
              <w:spacing w:line="276" w:lineRule="auto"/>
              <w:rPr>
                <w:rFonts w:ascii="Times New Roman" w:hAnsi="Times New Roman" w:cs="Times New Roman"/>
                <w:sz w:val="20"/>
                <w:szCs w:val="20"/>
              </w:rPr>
            </w:pPr>
            <w:r w:rsidRPr="00A1240E">
              <w:rPr>
                <w:rFonts w:ascii="Times New Roman" w:hAnsi="Times New Roman" w:cs="Times New Roman"/>
                <w:b/>
                <w:sz w:val="20"/>
                <w:szCs w:val="20"/>
              </w:rPr>
              <w:t>Kriteri 3:</w:t>
            </w:r>
            <w:r w:rsidRPr="00A1240E">
              <w:rPr>
                <w:rFonts w:ascii="Times New Roman" w:hAnsi="Times New Roman" w:cs="Times New Roman"/>
                <w:sz w:val="20"/>
                <w:szCs w:val="20"/>
              </w:rPr>
              <w:t xml:space="preserve"> Personeli akademik i programit të studimit specializim afatgjatë përbëhet nga:</w:t>
            </w:r>
          </w:p>
          <w:p w:rsidR="00AF79E3" w:rsidRPr="00A1240E" w:rsidRDefault="00AF79E3" w:rsidP="00A1240E">
            <w:pPr>
              <w:spacing w:line="276" w:lineRule="auto"/>
              <w:rPr>
                <w:rFonts w:ascii="Times New Roman" w:hAnsi="Times New Roman" w:cs="Times New Roman"/>
                <w:sz w:val="20"/>
                <w:szCs w:val="20"/>
              </w:rPr>
            </w:pPr>
            <w:r w:rsidRPr="00BD50D2">
              <w:rPr>
                <w:rFonts w:ascii="Times New Roman" w:hAnsi="Times New Roman" w:cs="Times New Roman"/>
                <w:b/>
                <w:sz w:val="20"/>
                <w:szCs w:val="20"/>
              </w:rPr>
              <w:t>i.</w:t>
            </w:r>
            <w:r w:rsidRPr="00A1240E">
              <w:rPr>
                <w:rFonts w:ascii="Times New Roman" w:hAnsi="Times New Roman" w:cs="Times New Roman"/>
                <w:sz w:val="20"/>
                <w:szCs w:val="20"/>
              </w:rPr>
              <w:t xml:space="preserve"> personel akademik me kohë të plotë me tituj akademikë dhe grada shkencore, jo më pak se 50% të pedagogëve që mbulojnë programin e studimit. Të paktën 1 (një) pedagog me kohë të plotë</w:t>
            </w:r>
            <w:r w:rsidR="00BD50D2" w:rsidRPr="00A1240E">
              <w:rPr>
                <w:rFonts w:ascii="Times New Roman" w:hAnsi="Times New Roman" w:cs="Times New Roman"/>
                <w:sz w:val="20"/>
                <w:szCs w:val="20"/>
              </w:rPr>
              <w:t>, i</w:t>
            </w:r>
            <w:r w:rsidRPr="00A1240E">
              <w:rPr>
                <w:rFonts w:ascii="Times New Roman" w:hAnsi="Times New Roman" w:cs="Times New Roman"/>
                <w:sz w:val="20"/>
                <w:szCs w:val="20"/>
              </w:rPr>
              <w:t xml:space="preserve"> kategorisë profesor, duhet t’i përkasë fushës së programit të studimit.</w:t>
            </w:r>
          </w:p>
          <w:p w:rsidR="00BD50D2" w:rsidRDefault="00AF79E3" w:rsidP="00A1240E">
            <w:pPr>
              <w:spacing w:line="276" w:lineRule="auto"/>
              <w:rPr>
                <w:rFonts w:ascii="Times New Roman" w:hAnsi="Times New Roman" w:cs="Times New Roman"/>
                <w:sz w:val="20"/>
                <w:szCs w:val="20"/>
              </w:rPr>
            </w:pPr>
            <w:r w:rsidRPr="00BD50D2">
              <w:rPr>
                <w:rFonts w:ascii="Times New Roman" w:hAnsi="Times New Roman" w:cs="Times New Roman"/>
                <w:b/>
                <w:sz w:val="20"/>
                <w:szCs w:val="20"/>
              </w:rPr>
              <w:t>ii.</w:t>
            </w:r>
            <w:r w:rsidRPr="00A1240E">
              <w:rPr>
                <w:rFonts w:ascii="Times New Roman" w:hAnsi="Times New Roman" w:cs="Times New Roman"/>
                <w:sz w:val="20"/>
                <w:szCs w:val="20"/>
              </w:rPr>
              <w:t xml:space="preserve"> </w:t>
            </w:r>
            <w:r w:rsidR="00BD50D2" w:rsidRPr="00A1240E">
              <w:rPr>
                <w:rFonts w:ascii="Times New Roman" w:hAnsi="Times New Roman" w:cs="Times New Roman"/>
                <w:sz w:val="20"/>
                <w:szCs w:val="20"/>
              </w:rPr>
              <w:t>Personel</w:t>
            </w:r>
            <w:r w:rsidRPr="00A1240E">
              <w:rPr>
                <w:rFonts w:ascii="Times New Roman" w:hAnsi="Times New Roman" w:cs="Times New Roman"/>
                <w:sz w:val="20"/>
                <w:szCs w:val="20"/>
              </w:rPr>
              <w:t xml:space="preserve"> akademik, i cili ushtron profesionin në strukturat shëndetësore universitare të përcaktuara, sipas legjislacionit në fuqi në masën jo më shumë se 50% e pedagogëve që mbulojnë programin e studimit. Ky personel akademik të ketë eksperiencë didaktike-formuese dhe eksperiencë profesionale-klinike diagnostike. </w:t>
            </w:r>
            <w:r w:rsidR="00BD50D2">
              <w:rPr>
                <w:rFonts w:ascii="Times New Roman" w:hAnsi="Times New Roman" w:cs="Times New Roman"/>
                <w:sz w:val="20"/>
                <w:szCs w:val="20"/>
              </w:rPr>
              <w:t xml:space="preserve"> </w:t>
            </w:r>
            <w:r w:rsidRPr="00A1240E">
              <w:rPr>
                <w:rFonts w:ascii="Times New Roman" w:hAnsi="Times New Roman" w:cs="Times New Roman"/>
                <w:sz w:val="20"/>
                <w:szCs w:val="20"/>
              </w:rPr>
              <w:t>Zhvillimi i aktivitetit mësimdhënës nga personeli i strukturave shëndetësore të rrjetit formues kërkon miratimin paraprak të drejtue</w:t>
            </w:r>
            <w:r w:rsidR="00BD50D2">
              <w:rPr>
                <w:rFonts w:ascii="Times New Roman" w:hAnsi="Times New Roman" w:cs="Times New Roman"/>
                <w:sz w:val="20"/>
                <w:szCs w:val="20"/>
              </w:rPr>
              <w:t>sit të strukturës shëndetësore.</w:t>
            </w:r>
          </w:p>
          <w:p w:rsidR="00AF79E3" w:rsidRPr="00A1240E" w:rsidRDefault="00AF79E3" w:rsidP="00A1240E">
            <w:pPr>
              <w:spacing w:line="276" w:lineRule="auto"/>
              <w:rPr>
                <w:rFonts w:ascii="Times New Roman" w:hAnsi="Times New Roman" w:cs="Times New Roman"/>
                <w:sz w:val="20"/>
                <w:szCs w:val="20"/>
              </w:rPr>
            </w:pPr>
            <w:r w:rsidRPr="00A1240E">
              <w:rPr>
                <w:rFonts w:ascii="Times New Roman" w:hAnsi="Times New Roman" w:cs="Times New Roman"/>
                <w:sz w:val="20"/>
                <w:szCs w:val="20"/>
              </w:rPr>
              <w:t xml:space="preserve">Zhvillimi i aktivitetit mësimdhënës </w:t>
            </w:r>
            <w:r w:rsidR="00BD50D2" w:rsidRPr="00A1240E">
              <w:rPr>
                <w:rFonts w:ascii="Times New Roman" w:hAnsi="Times New Roman" w:cs="Times New Roman"/>
                <w:sz w:val="20"/>
                <w:szCs w:val="20"/>
              </w:rPr>
              <w:t>nga personeli</w:t>
            </w:r>
            <w:r w:rsidRPr="00A1240E">
              <w:rPr>
                <w:rFonts w:ascii="Times New Roman" w:hAnsi="Times New Roman" w:cs="Times New Roman"/>
                <w:sz w:val="20"/>
                <w:szCs w:val="20"/>
              </w:rPr>
              <w:t xml:space="preserve"> i strukturave shëndetësore universitare, kërkon ne çdo rast miratimin paraprak nga IAL përkatëse, ku struktura shëndetësore universitare është pjesë përbërëse e saj.</w:t>
            </w:r>
          </w:p>
          <w:p w:rsidR="00BA509A" w:rsidRPr="00A1240E" w:rsidRDefault="00AF79E3" w:rsidP="004E47AC">
            <w:pPr>
              <w:spacing w:line="276" w:lineRule="auto"/>
              <w:rPr>
                <w:rFonts w:ascii="Times New Roman" w:hAnsi="Times New Roman" w:cs="Times New Roman"/>
                <w:sz w:val="20"/>
                <w:szCs w:val="20"/>
              </w:rPr>
            </w:pPr>
            <w:r w:rsidRPr="00BD50D2">
              <w:rPr>
                <w:rFonts w:ascii="Times New Roman" w:hAnsi="Times New Roman" w:cs="Times New Roman"/>
                <w:b/>
                <w:sz w:val="20"/>
                <w:szCs w:val="20"/>
              </w:rPr>
              <w:t>iii.</w:t>
            </w:r>
            <w:r w:rsidRPr="00A1240E">
              <w:rPr>
                <w:rFonts w:ascii="Times New Roman" w:hAnsi="Times New Roman" w:cs="Times New Roman"/>
                <w:sz w:val="20"/>
                <w:szCs w:val="20"/>
              </w:rPr>
              <w:t xml:space="preserve"> personel akademik me kohë të pjesshme, për disiplina të veçanta, jo më shumë se 10% e pedagogëve që mbulojnë programin e studimit, me të cilët lidhet një kontratë, sipas nevojave të stru</w:t>
            </w:r>
            <w:r w:rsidR="004E47AC">
              <w:rPr>
                <w:rFonts w:ascii="Times New Roman" w:hAnsi="Times New Roman" w:cs="Times New Roman"/>
                <w:sz w:val="20"/>
                <w:szCs w:val="20"/>
              </w:rPr>
              <w:t>kturës së programit të studimit.</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A1240E" w:rsidRDefault="00AF79E3" w:rsidP="004E47AC">
            <w:pPr>
              <w:spacing w:line="276" w:lineRule="auto"/>
              <w:rPr>
                <w:rFonts w:ascii="Times New Roman" w:hAnsi="Times New Roman" w:cs="Times New Roman"/>
                <w:sz w:val="20"/>
                <w:szCs w:val="20"/>
              </w:rPr>
            </w:pPr>
            <w:r w:rsidRPr="00BD50D2">
              <w:rPr>
                <w:rFonts w:ascii="Times New Roman" w:hAnsi="Times New Roman" w:cs="Times New Roman"/>
                <w:b/>
                <w:sz w:val="20"/>
                <w:szCs w:val="20"/>
              </w:rPr>
              <w:t>Kriteri 4:</w:t>
            </w:r>
            <w:r w:rsidRPr="00A1240E">
              <w:rPr>
                <w:rFonts w:ascii="Times New Roman" w:hAnsi="Times New Roman" w:cs="Times New Roman"/>
                <w:sz w:val="20"/>
                <w:szCs w:val="20"/>
              </w:rPr>
              <w:t xml:space="preserve"> Programi i studimit specializim afatgjatë ka drejtuesin/</w:t>
            </w:r>
            <w:r w:rsidR="00BD50D2" w:rsidRPr="00A1240E">
              <w:rPr>
                <w:rFonts w:ascii="Times New Roman" w:hAnsi="Times New Roman" w:cs="Times New Roman"/>
                <w:sz w:val="20"/>
                <w:szCs w:val="20"/>
              </w:rPr>
              <w:t>përgjegjësin e</w:t>
            </w:r>
            <w:r w:rsidRPr="00A1240E">
              <w:rPr>
                <w:rFonts w:ascii="Times New Roman" w:hAnsi="Times New Roman" w:cs="Times New Roman"/>
                <w:sz w:val="20"/>
                <w:szCs w:val="20"/>
              </w:rPr>
              <w:t xml:space="preserve"> programit. Përgjegjësi/drejtuesi i programit të specializimit duhet të jetë personel akademik me kohë të plotë. Përgjegjësi/drejtuesi i programit të specializimit është njëkohësisht dhe anëtar i njësisë bazë përgjegjëse/shërbimit përgjegjës për programin e specializimit afatgjatë. Përgjegjësi/drejtuesi i programit të specializimit zgjidhet nga anëtarët të asamblesë së njësisë bazë, me shumicë të thjeshte (50%+1). Përgjegjësi/drejtuesi i programit në një IAL nuk mund të ngarkohet me përgjegjësinë e drejtimit të një tjetër programi studimi q</w:t>
            </w:r>
            <w:r w:rsidR="00E16F2F">
              <w:rPr>
                <w:rFonts w:ascii="Times New Roman" w:hAnsi="Times New Roman" w:cs="Times New Roman"/>
                <w:sz w:val="20"/>
                <w:szCs w:val="20"/>
              </w:rPr>
              <w:t>ë realizohet nga IAL-të e tjera.</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A1240E" w:rsidRPr="00A1240E" w:rsidRDefault="00A1240E" w:rsidP="00A1240E">
            <w:pPr>
              <w:spacing w:line="276" w:lineRule="auto"/>
              <w:rPr>
                <w:rFonts w:ascii="Times New Roman" w:hAnsi="Times New Roman" w:cs="Times New Roman"/>
                <w:sz w:val="20"/>
                <w:szCs w:val="20"/>
              </w:rPr>
            </w:pPr>
            <w:r w:rsidRPr="00E16F2F">
              <w:rPr>
                <w:rFonts w:ascii="Times New Roman" w:hAnsi="Times New Roman" w:cs="Times New Roman"/>
                <w:b/>
                <w:sz w:val="20"/>
                <w:szCs w:val="20"/>
              </w:rPr>
              <w:t>Kriteri 5:</w:t>
            </w:r>
            <w:r w:rsidRPr="00A1240E">
              <w:rPr>
                <w:rFonts w:ascii="Times New Roman" w:hAnsi="Times New Roman" w:cs="Times New Roman"/>
                <w:sz w:val="20"/>
                <w:szCs w:val="20"/>
              </w:rPr>
              <w:t xml:space="preserve"> Njësia përgjegjëse garanton se ka kapacitete për udhëheqjen e specializantit.</w:t>
            </w:r>
          </w:p>
          <w:p w:rsidR="00A1240E" w:rsidRPr="00A1240E" w:rsidRDefault="00A1240E" w:rsidP="00A1240E">
            <w:pPr>
              <w:spacing w:line="276" w:lineRule="auto"/>
              <w:rPr>
                <w:rFonts w:ascii="Times New Roman" w:hAnsi="Times New Roman" w:cs="Times New Roman"/>
                <w:sz w:val="20"/>
                <w:szCs w:val="20"/>
              </w:rPr>
            </w:pPr>
            <w:r w:rsidRPr="00A1240E">
              <w:rPr>
                <w:rFonts w:ascii="Times New Roman" w:hAnsi="Times New Roman" w:cs="Times New Roman"/>
                <w:sz w:val="20"/>
                <w:szCs w:val="20"/>
              </w:rPr>
              <w:t xml:space="preserve">Udhëheqësi i specializantit është: udhëheqës akademik dhe udhëheqës klinik diagnostik. </w:t>
            </w:r>
          </w:p>
          <w:p w:rsidR="00E16F2F" w:rsidRDefault="00E16F2F" w:rsidP="00A1240E">
            <w:pPr>
              <w:spacing w:line="276" w:lineRule="auto"/>
              <w:rPr>
                <w:rFonts w:ascii="Times New Roman" w:hAnsi="Times New Roman" w:cs="Times New Roman"/>
                <w:sz w:val="20"/>
                <w:szCs w:val="20"/>
              </w:rPr>
            </w:pPr>
          </w:p>
          <w:p w:rsidR="00A1240E" w:rsidRPr="00A1240E" w:rsidRDefault="00A1240E" w:rsidP="00A1240E">
            <w:pPr>
              <w:spacing w:line="276" w:lineRule="auto"/>
              <w:rPr>
                <w:rFonts w:ascii="Times New Roman" w:hAnsi="Times New Roman" w:cs="Times New Roman"/>
                <w:sz w:val="20"/>
                <w:szCs w:val="20"/>
              </w:rPr>
            </w:pPr>
            <w:r w:rsidRPr="00A1240E">
              <w:rPr>
                <w:rFonts w:ascii="Times New Roman" w:hAnsi="Times New Roman" w:cs="Times New Roman"/>
                <w:sz w:val="20"/>
                <w:szCs w:val="20"/>
              </w:rPr>
              <w:t xml:space="preserve">Numri maksimal i studentëve </w:t>
            </w:r>
            <w:r w:rsidR="00E16F2F" w:rsidRPr="00A1240E">
              <w:rPr>
                <w:rFonts w:ascii="Times New Roman" w:hAnsi="Times New Roman" w:cs="Times New Roman"/>
                <w:sz w:val="20"/>
                <w:szCs w:val="20"/>
              </w:rPr>
              <w:t>që mund</w:t>
            </w:r>
            <w:r w:rsidRPr="00A1240E">
              <w:rPr>
                <w:rFonts w:ascii="Times New Roman" w:hAnsi="Times New Roman" w:cs="Times New Roman"/>
                <w:sz w:val="20"/>
                <w:szCs w:val="20"/>
              </w:rPr>
              <w:t xml:space="preserve"> të ndiqet nga udhëheqës akademik/klinik diagnostik është sipas kuadrit ligjor ne fuqi.</w:t>
            </w:r>
          </w:p>
          <w:p w:rsidR="00E16F2F" w:rsidRDefault="00E16F2F" w:rsidP="00A1240E">
            <w:pPr>
              <w:spacing w:line="276" w:lineRule="auto"/>
              <w:rPr>
                <w:rFonts w:ascii="Times New Roman" w:hAnsi="Times New Roman" w:cs="Times New Roman"/>
                <w:sz w:val="20"/>
                <w:szCs w:val="20"/>
              </w:rPr>
            </w:pPr>
          </w:p>
          <w:p w:rsidR="00A1240E" w:rsidRDefault="00A1240E" w:rsidP="00A1240E">
            <w:pPr>
              <w:spacing w:line="276" w:lineRule="auto"/>
              <w:rPr>
                <w:rFonts w:ascii="Times New Roman" w:hAnsi="Times New Roman" w:cs="Times New Roman"/>
                <w:sz w:val="20"/>
                <w:szCs w:val="20"/>
              </w:rPr>
            </w:pPr>
            <w:r w:rsidRPr="00A1240E">
              <w:rPr>
                <w:rFonts w:ascii="Times New Roman" w:hAnsi="Times New Roman" w:cs="Times New Roman"/>
                <w:sz w:val="20"/>
                <w:szCs w:val="20"/>
              </w:rPr>
              <w:t xml:space="preserve">Drejtimi i specializantit i ngarkohet, </w:t>
            </w:r>
            <w:r w:rsidR="00E16F2F" w:rsidRPr="00A1240E">
              <w:rPr>
                <w:rFonts w:ascii="Times New Roman" w:hAnsi="Times New Roman" w:cs="Times New Roman"/>
                <w:sz w:val="20"/>
                <w:szCs w:val="20"/>
              </w:rPr>
              <w:t>në cilësinë</w:t>
            </w:r>
            <w:r w:rsidRPr="00A1240E">
              <w:rPr>
                <w:rFonts w:ascii="Times New Roman" w:hAnsi="Times New Roman" w:cs="Times New Roman"/>
                <w:sz w:val="20"/>
                <w:szCs w:val="20"/>
              </w:rPr>
              <w:t xml:space="preserve"> e udhëheqësit, një pedagogu (udhëheqës akademik) dhe/ose një anëtari të personelit të strukturës shëndetësore të rrjetit formues (udhëheqës klinik/tutori) të programit të studimit, i cili/të cilët udhëheqin specializantin gjatë gjithë periudhës së specializimit dhe janë përgjegjës për drejtimin, këshillimin, vlerësirnin e nevojave të studentit, si edhe për zhvillimin dhe monitorimin e punës së studentit.</w:t>
            </w:r>
          </w:p>
          <w:p w:rsidR="00E16F2F" w:rsidRPr="00A1240E" w:rsidRDefault="00E16F2F" w:rsidP="00A1240E">
            <w:pPr>
              <w:spacing w:line="276" w:lineRule="auto"/>
              <w:rPr>
                <w:rFonts w:ascii="Times New Roman" w:hAnsi="Times New Roman" w:cs="Times New Roman"/>
                <w:sz w:val="20"/>
                <w:szCs w:val="20"/>
              </w:rPr>
            </w:pPr>
          </w:p>
          <w:p w:rsidR="00A1240E" w:rsidRDefault="00A1240E" w:rsidP="00A1240E">
            <w:pPr>
              <w:spacing w:line="276" w:lineRule="auto"/>
              <w:rPr>
                <w:rFonts w:ascii="Times New Roman" w:hAnsi="Times New Roman" w:cs="Times New Roman"/>
                <w:sz w:val="20"/>
                <w:szCs w:val="20"/>
              </w:rPr>
            </w:pPr>
            <w:r w:rsidRPr="00A1240E">
              <w:rPr>
                <w:rFonts w:ascii="Times New Roman" w:hAnsi="Times New Roman" w:cs="Times New Roman"/>
                <w:sz w:val="20"/>
                <w:szCs w:val="20"/>
              </w:rPr>
              <w:t>Fusha e specializimit të udhëheqësit duhet të përputhet me atë të programit specializues që ndjek. Udhëheqësi klinik/tutori ka një experiencë profesionale të paktën 10-vjeçare (dhjetëvjeçare) me përvojë klinike në fushën klinike përkatëse dhe ka të paktën gradën shkencare “Doktor”. Numri maksimal i studentëve specializantë që mund të ndiqet nga udhëheqësi akademik/klinik është 3 (tre).</w:t>
            </w:r>
          </w:p>
          <w:p w:rsidR="00E16F2F" w:rsidRPr="00A1240E" w:rsidRDefault="00E16F2F" w:rsidP="00A1240E">
            <w:pPr>
              <w:spacing w:line="276" w:lineRule="auto"/>
              <w:rPr>
                <w:rFonts w:ascii="Times New Roman" w:hAnsi="Times New Roman" w:cs="Times New Roman"/>
                <w:sz w:val="20"/>
                <w:szCs w:val="20"/>
              </w:rPr>
            </w:pPr>
          </w:p>
          <w:p w:rsidR="00A1240E" w:rsidRDefault="00A1240E" w:rsidP="00A1240E">
            <w:pPr>
              <w:spacing w:line="276" w:lineRule="auto"/>
              <w:rPr>
                <w:rFonts w:ascii="Times New Roman" w:hAnsi="Times New Roman" w:cs="Times New Roman"/>
                <w:sz w:val="20"/>
                <w:szCs w:val="20"/>
              </w:rPr>
            </w:pPr>
            <w:r w:rsidRPr="00A1240E">
              <w:rPr>
                <w:rFonts w:ascii="Times New Roman" w:hAnsi="Times New Roman" w:cs="Times New Roman"/>
                <w:sz w:val="20"/>
                <w:szCs w:val="20"/>
              </w:rPr>
              <w:t>Udhëheqësi klinik/tutori është personel i punësuar me kohë të plotë pranë njërës nga strukturat e rrjetit formues dhe ka kontratë bashkëpunimi me IAL-në që ofron programin. Kur tutori nuk është pjesë e personelit me kohë të plotë të strukturës që ofron programin e specializmit, specializantit i caktohet edhe një udhëheqës akademik, anëtar i personelit akademik me kohë të plotë të institucionit. Për caktimin e udhëheqësit klinik merret vendimi i drejtuesit të strukturës shëndetësore dhe udhëheqja e tij klinike konsiderohet si pjesë e orarit të punës.</w:t>
            </w:r>
          </w:p>
          <w:p w:rsidR="00E16F2F" w:rsidRPr="00A1240E" w:rsidRDefault="00E16F2F" w:rsidP="00A1240E">
            <w:pPr>
              <w:spacing w:line="276" w:lineRule="auto"/>
              <w:rPr>
                <w:rFonts w:ascii="Times New Roman" w:hAnsi="Times New Roman" w:cs="Times New Roman"/>
                <w:sz w:val="20"/>
                <w:szCs w:val="20"/>
              </w:rPr>
            </w:pPr>
          </w:p>
          <w:p w:rsidR="00BA509A" w:rsidRPr="00A1240E" w:rsidRDefault="00A1240E" w:rsidP="004E47AC">
            <w:pPr>
              <w:spacing w:line="276" w:lineRule="auto"/>
              <w:rPr>
                <w:rFonts w:ascii="Times New Roman" w:hAnsi="Times New Roman" w:cs="Times New Roman"/>
                <w:sz w:val="20"/>
                <w:szCs w:val="20"/>
              </w:rPr>
            </w:pPr>
            <w:r w:rsidRPr="00A1240E">
              <w:rPr>
                <w:rFonts w:ascii="Times New Roman" w:hAnsi="Times New Roman" w:cs="Times New Roman"/>
                <w:sz w:val="20"/>
                <w:szCs w:val="20"/>
              </w:rPr>
              <w:t>Aktiviteti i mësimdhënies kryhet njëkohësisht me aktivitetin asistencial/profesional, në përputhje me kërkesat e programit të studimit. Zhvillimi i aktivitetit mësimdhënës në selinë ku realizohet programi i studimit nga personeli i strukturave shëndetësore universitare kërkon miratimin paraprak t</w:t>
            </w:r>
            <w:r w:rsidR="004E47AC">
              <w:rPr>
                <w:rFonts w:ascii="Times New Roman" w:hAnsi="Times New Roman" w:cs="Times New Roman"/>
                <w:sz w:val="20"/>
                <w:szCs w:val="20"/>
              </w:rPr>
              <w:t>ë drejtuesit të këtij shërbimi.</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35"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5"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4E47AC" w:rsidRDefault="00B100A2" w:rsidP="004E47A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Standardi III.2</w:t>
            </w:r>
          </w:p>
          <w:p w:rsidR="00C1352C" w:rsidRPr="00500475" w:rsidRDefault="00B245ED" w:rsidP="00243BA4">
            <w:pPr>
              <w:spacing w:line="276" w:lineRule="auto"/>
              <w:jc w:val="both"/>
              <w:rPr>
                <w:rFonts w:ascii="Times New Roman" w:hAnsi="Times New Roman" w:cs="Times New Roman"/>
                <w:b/>
              </w:rPr>
            </w:pPr>
            <w:r w:rsidRPr="00B245ED">
              <w:rPr>
                <w:rFonts w:ascii="Times New Roman" w:hAnsi="Times New Roman" w:cs="Times New Roman"/>
                <w:b/>
                <w:lang w:val="sq-AL"/>
              </w:rPr>
              <w:t>Institucioni garanton infrastrukturën dhe logjistikën e nevojshme në funksion të programit të specializimit afatgjatë</w:t>
            </w:r>
            <w:r>
              <w:rPr>
                <w:rFonts w:ascii="Times New Roman" w:hAnsi="Times New Roman" w:cs="Times New Roman"/>
                <w:b/>
                <w:lang w:val="sq-AL"/>
              </w:rPr>
              <w:t>.</w:t>
            </w:r>
          </w:p>
        </w:tc>
      </w:tr>
      <w:tr w:rsidR="00C1352C" w:rsidRPr="00500475" w:rsidTr="00BE7F06">
        <w:trPr>
          <w:trHeight w:val="395"/>
        </w:trPr>
        <w:tc>
          <w:tcPr>
            <w:tcW w:w="3259"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61" w:type="dxa"/>
            <w:gridSpan w:val="4"/>
            <w:shd w:val="clear" w:color="auto" w:fill="C5E0B3" w:themeFill="accent6" w:themeFillTint="66"/>
          </w:tcPr>
          <w:p w:rsidR="00C1352C" w:rsidRPr="00500475" w:rsidRDefault="00C1352C" w:rsidP="005972BF">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59" w:type="dxa"/>
          </w:tcPr>
          <w:p w:rsidR="00BA509A" w:rsidRPr="00B245ED" w:rsidRDefault="00B245ED" w:rsidP="004E47AC">
            <w:pPr>
              <w:spacing w:line="276" w:lineRule="auto"/>
              <w:rPr>
                <w:rFonts w:ascii="Times New Roman" w:hAnsi="Times New Roman" w:cs="Times New Roman"/>
                <w:sz w:val="20"/>
                <w:szCs w:val="20"/>
              </w:rPr>
            </w:pPr>
            <w:r w:rsidRPr="00B245ED">
              <w:rPr>
                <w:rFonts w:ascii="Times New Roman" w:hAnsi="Times New Roman" w:cs="Times New Roman"/>
                <w:b/>
                <w:sz w:val="20"/>
                <w:szCs w:val="20"/>
              </w:rPr>
              <w:t>Kriteri 1:</w:t>
            </w:r>
            <w:r w:rsidRPr="00B245ED">
              <w:rPr>
                <w:rFonts w:ascii="Times New Roman" w:hAnsi="Times New Roman" w:cs="Times New Roman"/>
                <w:sz w:val="20"/>
                <w:szCs w:val="20"/>
              </w:rPr>
              <w:t xml:space="preserve"> Institucioni ka një vendndodhje të përhershme, që nënkupton mjedis qendror administrativ dhe mjedis ku zhvillohet veprimtaria mësimore. Këto mjedise duhet të jenë në dispozicion të institu</w:t>
            </w:r>
            <w:r w:rsidR="004E47AC">
              <w:rPr>
                <w:rFonts w:ascii="Times New Roman" w:hAnsi="Times New Roman" w:cs="Times New Roman"/>
                <w:sz w:val="20"/>
                <w:szCs w:val="20"/>
              </w:rPr>
              <w:t>cionit për jo më pak se 6 vjet.</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B245ED" w:rsidRDefault="00B245ED" w:rsidP="004E47AC">
            <w:pPr>
              <w:spacing w:line="276" w:lineRule="auto"/>
              <w:rPr>
                <w:rFonts w:ascii="Times New Roman" w:hAnsi="Times New Roman" w:cs="Times New Roman"/>
                <w:sz w:val="20"/>
                <w:szCs w:val="20"/>
              </w:rPr>
            </w:pPr>
            <w:r w:rsidRPr="00B245ED">
              <w:rPr>
                <w:rFonts w:ascii="Times New Roman" w:hAnsi="Times New Roman" w:cs="Times New Roman"/>
                <w:b/>
                <w:sz w:val="20"/>
                <w:szCs w:val="20"/>
              </w:rPr>
              <w:t>Kriteri 2:</w:t>
            </w:r>
            <w:r w:rsidRPr="00B245ED">
              <w:rPr>
                <w:rFonts w:ascii="Times New Roman" w:hAnsi="Times New Roman" w:cs="Times New Roman"/>
                <w:sz w:val="20"/>
                <w:szCs w:val="20"/>
              </w:rPr>
              <w:t xml:space="preserve"> Institucioni duhet të ketë kapacitete të mjaftueshme infrastrukturore dhe teknologjike. Ai disponon struktura administrative dhe klinike, të mjaftueshme për aktivitetet e parashikuara në programin e studimit specializues sipas standardeve specifike bashkëngjit</w:t>
            </w:r>
            <w:r w:rsidR="004E47AC">
              <w:rPr>
                <w:rFonts w:ascii="Times New Roman" w:hAnsi="Times New Roman" w:cs="Times New Roman"/>
                <w:sz w:val="20"/>
                <w:szCs w:val="20"/>
              </w:rPr>
              <w:t>ur këtij dokumenti (Shtojca 2).</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B245ED" w:rsidRDefault="00B245ED" w:rsidP="004E47AC">
            <w:pPr>
              <w:spacing w:line="276" w:lineRule="auto"/>
              <w:rPr>
                <w:rFonts w:ascii="Times New Roman" w:hAnsi="Times New Roman" w:cs="Times New Roman"/>
                <w:sz w:val="20"/>
                <w:szCs w:val="20"/>
              </w:rPr>
            </w:pPr>
            <w:r w:rsidRPr="00B245ED">
              <w:rPr>
                <w:rFonts w:ascii="Times New Roman" w:hAnsi="Times New Roman" w:cs="Times New Roman"/>
                <w:b/>
                <w:sz w:val="20"/>
                <w:szCs w:val="20"/>
              </w:rPr>
              <w:t>Kriteri 3:</w:t>
            </w:r>
            <w:r w:rsidRPr="00B245ED">
              <w:rPr>
                <w:rFonts w:ascii="Times New Roman" w:hAnsi="Times New Roman" w:cs="Times New Roman"/>
                <w:sz w:val="20"/>
                <w:szCs w:val="20"/>
              </w:rPr>
              <w:t xml:space="preserve"> Institucioni disponon struktura shëndetësore të akredituara për zhvillimin e aktiviteteve të ndryshme klinike diagnostikuese, profesionale dhe didaktike. Akreditimi i këtyre strukturave bëhe</w:t>
            </w:r>
            <w:r w:rsidR="004E47AC">
              <w:rPr>
                <w:rFonts w:ascii="Times New Roman" w:hAnsi="Times New Roman" w:cs="Times New Roman"/>
                <w:sz w:val="20"/>
                <w:szCs w:val="20"/>
              </w:rPr>
              <w:t>t sipas kuadrit ligjor ne fuqi.</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245ED" w:rsidRPr="00500475" w:rsidTr="00BE7F06">
        <w:tc>
          <w:tcPr>
            <w:tcW w:w="3259" w:type="dxa"/>
          </w:tcPr>
          <w:p w:rsidR="00B245ED" w:rsidRPr="00B245ED" w:rsidRDefault="00B245ED" w:rsidP="00B245ED">
            <w:pPr>
              <w:spacing w:line="276" w:lineRule="auto"/>
              <w:rPr>
                <w:rFonts w:ascii="Times New Roman" w:hAnsi="Times New Roman" w:cs="Times New Roman"/>
                <w:sz w:val="20"/>
                <w:szCs w:val="20"/>
              </w:rPr>
            </w:pPr>
            <w:r w:rsidRPr="00B245ED">
              <w:rPr>
                <w:rFonts w:ascii="Times New Roman" w:hAnsi="Times New Roman" w:cs="Times New Roman"/>
                <w:b/>
                <w:sz w:val="20"/>
                <w:szCs w:val="20"/>
              </w:rPr>
              <w:t>Kriteri 4:</w:t>
            </w:r>
            <w:r w:rsidRPr="00B245ED">
              <w:rPr>
                <w:rFonts w:ascii="Times New Roman" w:hAnsi="Times New Roman" w:cs="Times New Roman"/>
                <w:sz w:val="20"/>
                <w:szCs w:val="20"/>
              </w:rPr>
              <w:t xml:space="preserve"> Institucioni mund të organizojë programe të përbashkëta të studimeve specializuese afatgjata me një a më shumë institucione të tjera, të njohura/akredituar</w:t>
            </w:r>
            <w:r w:rsidR="004E47AC">
              <w:rPr>
                <w:rFonts w:ascii="Times New Roman" w:hAnsi="Times New Roman" w:cs="Times New Roman"/>
                <w:sz w:val="20"/>
                <w:szCs w:val="20"/>
              </w:rPr>
              <w:t>a sipas legjislacionit ne fuqi.</w:t>
            </w:r>
          </w:p>
        </w:tc>
        <w:tc>
          <w:tcPr>
            <w:tcW w:w="6461" w:type="dxa"/>
            <w:gridSpan w:val="4"/>
          </w:tcPr>
          <w:p w:rsidR="00B245ED" w:rsidRPr="00500475" w:rsidRDefault="00B245ED" w:rsidP="00243BA4">
            <w:pPr>
              <w:spacing w:line="276" w:lineRule="auto"/>
              <w:jc w:val="both"/>
              <w:rPr>
                <w:rFonts w:ascii="Times New Roman" w:hAnsi="Times New Roman" w:cs="Times New Roman"/>
                <w:b/>
              </w:rPr>
            </w:pPr>
          </w:p>
        </w:tc>
      </w:tr>
      <w:tr w:rsidR="00C1352C" w:rsidRPr="00500475" w:rsidTr="00D832FD">
        <w:trPr>
          <w:trHeight w:val="315"/>
        </w:trPr>
        <w:tc>
          <w:tcPr>
            <w:tcW w:w="3259"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2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0260C2" w:rsidRDefault="00BA509A" w:rsidP="000260C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III.3  </w:t>
            </w:r>
          </w:p>
          <w:p w:rsidR="00C1352C" w:rsidRPr="00500475" w:rsidRDefault="00B245ED" w:rsidP="00243BA4">
            <w:pPr>
              <w:spacing w:line="276" w:lineRule="auto"/>
              <w:jc w:val="both"/>
              <w:rPr>
                <w:rFonts w:ascii="Times New Roman" w:hAnsi="Times New Roman" w:cs="Times New Roman"/>
                <w:b/>
              </w:rPr>
            </w:pPr>
            <w:r w:rsidRPr="00B245ED">
              <w:rPr>
                <w:rFonts w:ascii="Times New Roman" w:hAnsi="Times New Roman" w:cs="Times New Roman"/>
                <w:b/>
                <w:lang w:val="sq-AL"/>
              </w:rPr>
              <w:t>Institucioni mund të ofrojë programe mësimdhënieje në gjuhë të huaj, me një personel akademik të kualifikuar.</w:t>
            </w:r>
          </w:p>
        </w:tc>
      </w:tr>
      <w:tr w:rsidR="00C1352C" w:rsidRPr="00500475" w:rsidTr="00D832FD">
        <w:trPr>
          <w:trHeight w:val="395"/>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5972BF">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D832FD">
        <w:tc>
          <w:tcPr>
            <w:tcW w:w="3240" w:type="dxa"/>
          </w:tcPr>
          <w:p w:rsidR="00BA509A" w:rsidRPr="00B245ED" w:rsidRDefault="00B245ED" w:rsidP="000260C2">
            <w:pPr>
              <w:spacing w:line="276" w:lineRule="auto"/>
              <w:rPr>
                <w:rFonts w:ascii="Times New Roman" w:hAnsi="Times New Roman" w:cs="Times New Roman"/>
                <w:sz w:val="20"/>
                <w:szCs w:val="20"/>
              </w:rPr>
            </w:pPr>
            <w:r w:rsidRPr="00B245ED">
              <w:rPr>
                <w:rFonts w:ascii="Times New Roman" w:hAnsi="Times New Roman" w:cs="Times New Roman"/>
                <w:b/>
                <w:sz w:val="20"/>
                <w:szCs w:val="20"/>
              </w:rPr>
              <w:t>Kriteri 1:</w:t>
            </w:r>
            <w:r w:rsidRPr="00B245ED">
              <w:rPr>
                <w:rFonts w:ascii="Times New Roman" w:hAnsi="Times New Roman" w:cs="Times New Roman"/>
                <w:sz w:val="20"/>
                <w:szCs w:val="20"/>
              </w:rPr>
              <w:t xml:space="preserve"> Institucioni, që ofron programe mësimdhënie në gjuhë të huaj, plotëson të njëjtat standarde të përcaktuara për IAL-të që ofrojnë programet e studimeve specializuese të fushës</w:t>
            </w:r>
            <w:r w:rsidR="000260C2">
              <w:rPr>
                <w:rFonts w:ascii="Times New Roman" w:hAnsi="Times New Roman" w:cs="Times New Roman"/>
                <w:sz w:val="20"/>
                <w:szCs w:val="20"/>
              </w:rPr>
              <w:t xml:space="preserve"> së mjekësisë në gjuhën shqipe.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B245ED" w:rsidRDefault="00B245ED" w:rsidP="000260C2">
            <w:pPr>
              <w:spacing w:line="276" w:lineRule="auto"/>
              <w:rPr>
                <w:rFonts w:ascii="Times New Roman" w:hAnsi="Times New Roman" w:cs="Times New Roman"/>
                <w:sz w:val="20"/>
                <w:szCs w:val="20"/>
              </w:rPr>
            </w:pPr>
            <w:r w:rsidRPr="00B245ED">
              <w:rPr>
                <w:rFonts w:ascii="Times New Roman" w:hAnsi="Times New Roman" w:cs="Times New Roman"/>
                <w:b/>
                <w:sz w:val="20"/>
                <w:szCs w:val="20"/>
              </w:rPr>
              <w:t>Kriteri 2:</w:t>
            </w:r>
            <w:r w:rsidRPr="00B245ED">
              <w:rPr>
                <w:rFonts w:ascii="Times New Roman" w:hAnsi="Times New Roman" w:cs="Times New Roman"/>
                <w:sz w:val="20"/>
                <w:szCs w:val="20"/>
              </w:rPr>
              <w:t xml:space="preserve"> Personeli akademik që angazhohet në mësimdhënie në gjuhë të huaj disponon një certifikatë për njohje të gjuhës së mësimdhënies të njohur ndërkombëtarisht, sipas kuadrit ligjor në fuqi.</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0260C2" w:rsidRDefault="00B100A2" w:rsidP="000260C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476"/>
        <w:gridCol w:w="1590"/>
        <w:gridCol w:w="1725"/>
        <w:gridCol w:w="1725"/>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III.4</w:t>
            </w:r>
            <w:r w:rsidRPr="00500475">
              <w:rPr>
                <w:rFonts w:ascii="Times New Roman" w:hAnsi="Times New Roman" w:cs="Times New Roman"/>
                <w:b/>
                <w:lang w:val="sq-AL"/>
              </w:rPr>
              <w:tab/>
            </w:r>
          </w:p>
          <w:p w:rsidR="00C1352C" w:rsidRPr="00500475" w:rsidRDefault="00B245ED" w:rsidP="0009010A">
            <w:pPr>
              <w:jc w:val="both"/>
              <w:rPr>
                <w:rFonts w:ascii="Times New Roman" w:hAnsi="Times New Roman" w:cs="Times New Roman"/>
                <w:b/>
                <w:color w:val="000000" w:themeColor="text1"/>
              </w:rPr>
            </w:pPr>
            <w:r w:rsidRPr="00B245ED">
              <w:rPr>
                <w:rFonts w:ascii="Times New Roman" w:eastAsia="Times New Roman" w:hAnsi="Times New Roman" w:cs="Times New Roman"/>
                <w:b/>
                <w:bCs/>
                <w:lang w:val="sq-AL"/>
              </w:rPr>
              <w:t>Strukturat e përfshira duhet të disponojnë standardet e përgjithshme dhe specifike të parashikuara</w:t>
            </w:r>
            <w:r>
              <w:rPr>
                <w:rFonts w:ascii="Times New Roman" w:eastAsia="Times New Roman" w:hAnsi="Times New Roman" w:cs="Times New Roman"/>
                <w:b/>
                <w:bCs/>
                <w:lang w:val="sq-AL"/>
              </w:rPr>
              <w:t>.</w:t>
            </w:r>
          </w:p>
        </w:tc>
      </w:tr>
      <w:tr w:rsidR="00C1352C" w:rsidRPr="00500475" w:rsidTr="00C1514A">
        <w:trPr>
          <w:trHeight w:val="332"/>
        </w:trPr>
        <w:tc>
          <w:tcPr>
            <w:tcW w:w="3204"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516" w:type="dxa"/>
            <w:gridSpan w:val="4"/>
            <w:shd w:val="clear" w:color="auto" w:fill="C5E0B3" w:themeFill="accent6" w:themeFillTint="66"/>
          </w:tcPr>
          <w:p w:rsidR="00C1352C" w:rsidRPr="00500475" w:rsidRDefault="00C1352C" w:rsidP="005972BF">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C1514A">
        <w:tc>
          <w:tcPr>
            <w:tcW w:w="3204" w:type="dxa"/>
          </w:tcPr>
          <w:p w:rsidR="00587D8A" w:rsidRPr="00587D8A" w:rsidRDefault="00587D8A" w:rsidP="00587D8A">
            <w:pPr>
              <w:spacing w:line="276" w:lineRule="auto"/>
              <w:rPr>
                <w:rFonts w:ascii="Times New Roman" w:hAnsi="Times New Roman" w:cs="Times New Roman"/>
                <w:sz w:val="20"/>
                <w:szCs w:val="20"/>
              </w:rPr>
            </w:pPr>
            <w:r w:rsidRPr="00587D8A">
              <w:rPr>
                <w:rFonts w:ascii="Times New Roman" w:hAnsi="Times New Roman" w:cs="Times New Roman"/>
                <w:b/>
                <w:sz w:val="20"/>
                <w:szCs w:val="20"/>
              </w:rPr>
              <w:t>Kriteri 1:</w:t>
            </w:r>
            <w:r w:rsidRPr="00587D8A">
              <w:rPr>
                <w:rFonts w:ascii="Times New Roman" w:hAnsi="Times New Roman" w:cs="Times New Roman"/>
                <w:sz w:val="20"/>
                <w:szCs w:val="20"/>
              </w:rPr>
              <w:t xml:space="preserve"> Strukturat qendrore dhe dytësore disponojnë standarde të përgjithshme në përputhje   me   kapacitetin   infrastrukturor,  teknologjik,   organizativ   dhe asistencial sipas  kritereve  të  mëposhtme  dhe  sipas  kritereve  specifike  të parashikuara në shtojcën 2:</w:t>
            </w:r>
          </w:p>
          <w:p w:rsidR="00587D8A" w:rsidRPr="00587D8A" w:rsidRDefault="00587D8A" w:rsidP="00587D8A">
            <w:pPr>
              <w:spacing w:line="276" w:lineRule="auto"/>
              <w:rPr>
                <w:rFonts w:ascii="Times New Roman" w:hAnsi="Times New Roman" w:cs="Times New Roman"/>
                <w:sz w:val="20"/>
                <w:szCs w:val="20"/>
              </w:rPr>
            </w:pPr>
            <w:r w:rsidRPr="00587D8A">
              <w:rPr>
                <w:rFonts w:ascii="Times New Roman" w:hAnsi="Times New Roman" w:cs="Times New Roman"/>
                <w:sz w:val="20"/>
                <w:szCs w:val="20"/>
              </w:rPr>
              <w:t>a. Kapaciteti infrastrukturor: hapësira të mjaftueshme për ushtrimin e funksioneve të parashikuara;</w:t>
            </w:r>
          </w:p>
          <w:p w:rsidR="00587D8A" w:rsidRPr="00587D8A" w:rsidRDefault="00587D8A" w:rsidP="00587D8A">
            <w:pPr>
              <w:spacing w:line="276" w:lineRule="auto"/>
              <w:rPr>
                <w:rFonts w:ascii="Times New Roman" w:hAnsi="Times New Roman" w:cs="Times New Roman"/>
                <w:sz w:val="20"/>
                <w:szCs w:val="20"/>
              </w:rPr>
            </w:pPr>
            <w:r w:rsidRPr="00587D8A">
              <w:rPr>
                <w:rFonts w:ascii="Times New Roman" w:hAnsi="Times New Roman" w:cs="Times New Roman"/>
                <w:sz w:val="20"/>
                <w:szCs w:val="20"/>
              </w:rPr>
              <w:t>b.   Kapaciteti  teknologjik: pajisje të nevojshme për ushtrimin e funksioneve të parashikuara;</w:t>
            </w:r>
          </w:p>
          <w:p w:rsidR="00587D8A" w:rsidRPr="00587D8A" w:rsidRDefault="00587D8A" w:rsidP="00587D8A">
            <w:pPr>
              <w:spacing w:line="276" w:lineRule="auto"/>
              <w:rPr>
                <w:rFonts w:ascii="Times New Roman" w:hAnsi="Times New Roman" w:cs="Times New Roman"/>
                <w:sz w:val="20"/>
                <w:szCs w:val="20"/>
              </w:rPr>
            </w:pPr>
            <w:r w:rsidRPr="00587D8A">
              <w:rPr>
                <w:rFonts w:ascii="Times New Roman" w:hAnsi="Times New Roman" w:cs="Times New Roman"/>
                <w:sz w:val="20"/>
                <w:szCs w:val="20"/>
              </w:rPr>
              <w:t>c.   Kapaciteti organizativ: kompetenca të nevojshme profesionale;</w:t>
            </w:r>
          </w:p>
          <w:p w:rsidR="00BA509A" w:rsidRPr="00587D8A" w:rsidRDefault="00587D8A" w:rsidP="000260C2">
            <w:pPr>
              <w:spacing w:line="276" w:lineRule="auto"/>
              <w:rPr>
                <w:rFonts w:ascii="Times New Roman" w:hAnsi="Times New Roman" w:cs="Times New Roman"/>
                <w:sz w:val="20"/>
                <w:szCs w:val="20"/>
              </w:rPr>
            </w:pPr>
            <w:r w:rsidRPr="00587D8A">
              <w:rPr>
                <w:rFonts w:ascii="Times New Roman" w:hAnsi="Times New Roman" w:cs="Times New Roman"/>
                <w:sz w:val="20"/>
                <w:szCs w:val="20"/>
              </w:rPr>
              <w:t>d.   Kapaciteti asistencial: sasi dhe tipologji të caktuar të ndërh</w:t>
            </w:r>
            <w:r w:rsidR="000260C2">
              <w:rPr>
                <w:rFonts w:ascii="Times New Roman" w:hAnsi="Times New Roman" w:cs="Times New Roman"/>
                <w:sz w:val="20"/>
                <w:szCs w:val="20"/>
              </w:rPr>
              <w:t>yrjeve klinike.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587D8A" w:rsidRDefault="00587D8A" w:rsidP="000260C2">
            <w:pPr>
              <w:spacing w:line="276" w:lineRule="auto"/>
              <w:rPr>
                <w:rFonts w:ascii="Times New Roman" w:hAnsi="Times New Roman" w:cs="Times New Roman"/>
                <w:sz w:val="20"/>
                <w:szCs w:val="20"/>
              </w:rPr>
            </w:pPr>
            <w:r w:rsidRPr="00790326">
              <w:rPr>
                <w:rFonts w:ascii="Times New Roman" w:hAnsi="Times New Roman" w:cs="Times New Roman"/>
                <w:b/>
                <w:sz w:val="20"/>
                <w:szCs w:val="20"/>
              </w:rPr>
              <w:t>Kriteri 2:</w:t>
            </w:r>
            <w:r w:rsidRPr="00587D8A">
              <w:rPr>
                <w:rFonts w:ascii="Times New Roman" w:hAnsi="Times New Roman" w:cs="Times New Roman"/>
                <w:sz w:val="20"/>
                <w:szCs w:val="20"/>
              </w:rPr>
              <w:t xml:space="preserve"> </w:t>
            </w:r>
            <w:r w:rsidR="00790326" w:rsidRPr="00587D8A">
              <w:rPr>
                <w:rFonts w:ascii="Times New Roman" w:hAnsi="Times New Roman" w:cs="Times New Roman"/>
                <w:sz w:val="20"/>
                <w:szCs w:val="20"/>
              </w:rPr>
              <w:t>Të gjitha strukturat (</w:t>
            </w:r>
            <w:r w:rsidRPr="00587D8A">
              <w:rPr>
                <w:rFonts w:ascii="Times New Roman" w:hAnsi="Times New Roman" w:cs="Times New Roman"/>
                <w:sz w:val="20"/>
                <w:szCs w:val="20"/>
              </w:rPr>
              <w:t xml:space="preserve">psh.  </w:t>
            </w:r>
            <w:r w:rsidR="00790326" w:rsidRPr="00587D8A">
              <w:rPr>
                <w:rFonts w:ascii="Times New Roman" w:hAnsi="Times New Roman" w:cs="Times New Roman"/>
                <w:sz w:val="20"/>
                <w:szCs w:val="20"/>
              </w:rPr>
              <w:t>Auditorët, biblioteka, sekretaritë, etj</w:t>
            </w:r>
            <w:r w:rsidRPr="00587D8A">
              <w:rPr>
                <w:rFonts w:ascii="Times New Roman" w:hAnsi="Times New Roman" w:cs="Times New Roman"/>
                <w:sz w:val="20"/>
                <w:szCs w:val="20"/>
              </w:rPr>
              <w:t xml:space="preserve">.) </w:t>
            </w:r>
            <w:r w:rsidR="00790326" w:rsidRPr="00587D8A">
              <w:rPr>
                <w:rFonts w:ascii="Times New Roman" w:hAnsi="Times New Roman" w:cs="Times New Roman"/>
                <w:sz w:val="20"/>
                <w:szCs w:val="20"/>
              </w:rPr>
              <w:t>Plotësojnë</w:t>
            </w:r>
            <w:r w:rsidR="000260C2">
              <w:rPr>
                <w:rFonts w:ascii="Times New Roman" w:hAnsi="Times New Roman" w:cs="Times New Roman"/>
                <w:sz w:val="20"/>
                <w:szCs w:val="20"/>
              </w:rPr>
              <w:t xml:space="preserve"> standardet e përgjithshme.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587D8A" w:rsidRPr="00587D8A" w:rsidRDefault="00587D8A" w:rsidP="00587D8A">
            <w:pPr>
              <w:spacing w:line="276" w:lineRule="auto"/>
              <w:rPr>
                <w:rFonts w:ascii="Times New Roman" w:hAnsi="Times New Roman" w:cs="Times New Roman"/>
                <w:sz w:val="20"/>
                <w:szCs w:val="20"/>
              </w:rPr>
            </w:pPr>
            <w:r w:rsidRPr="00790326">
              <w:rPr>
                <w:rFonts w:ascii="Times New Roman" w:hAnsi="Times New Roman" w:cs="Times New Roman"/>
                <w:b/>
                <w:sz w:val="20"/>
                <w:szCs w:val="20"/>
              </w:rPr>
              <w:t>Kriteri 3:</w:t>
            </w:r>
            <w:r w:rsidRPr="00587D8A">
              <w:rPr>
                <w:rFonts w:ascii="Times New Roman" w:hAnsi="Times New Roman" w:cs="Times New Roman"/>
                <w:sz w:val="20"/>
                <w:szCs w:val="20"/>
              </w:rPr>
              <w:t xml:space="preserve"> Struktura bazë është e pajisur me ambientet/pajisjet e nevojshme:</w:t>
            </w:r>
          </w:p>
          <w:p w:rsidR="00587D8A" w:rsidRPr="00587D8A" w:rsidRDefault="00587D8A" w:rsidP="00587D8A">
            <w:pPr>
              <w:pStyle w:val="ListParagraph"/>
              <w:numPr>
                <w:ilvl w:val="0"/>
                <w:numId w:val="15"/>
              </w:numPr>
              <w:spacing w:line="276" w:lineRule="auto"/>
              <w:rPr>
                <w:rFonts w:ascii="Times New Roman" w:hAnsi="Times New Roman" w:cs="Times New Roman"/>
                <w:sz w:val="20"/>
                <w:szCs w:val="20"/>
              </w:rPr>
            </w:pPr>
            <w:r w:rsidRPr="00587D8A">
              <w:rPr>
                <w:rFonts w:ascii="Times New Roman" w:hAnsi="Times New Roman" w:cs="Times New Roman"/>
                <w:sz w:val="20"/>
                <w:szCs w:val="20"/>
              </w:rPr>
              <w:t xml:space="preserve">sekretari didaktike </w:t>
            </w:r>
          </w:p>
          <w:p w:rsidR="00587D8A" w:rsidRPr="00587D8A" w:rsidRDefault="00587D8A" w:rsidP="00587D8A">
            <w:pPr>
              <w:pStyle w:val="ListParagraph"/>
              <w:numPr>
                <w:ilvl w:val="0"/>
                <w:numId w:val="15"/>
              </w:numPr>
              <w:spacing w:line="276" w:lineRule="auto"/>
              <w:rPr>
                <w:rFonts w:ascii="Times New Roman" w:hAnsi="Times New Roman" w:cs="Times New Roman"/>
                <w:sz w:val="20"/>
                <w:szCs w:val="20"/>
              </w:rPr>
            </w:pPr>
            <w:r w:rsidRPr="00587D8A">
              <w:rPr>
                <w:rFonts w:ascii="Times New Roman" w:hAnsi="Times New Roman" w:cs="Times New Roman"/>
                <w:sz w:val="20"/>
                <w:szCs w:val="20"/>
              </w:rPr>
              <w:t>bibliotekë shkencore të pasur me botime dhe në formë elektronike</w:t>
            </w:r>
          </w:p>
          <w:p w:rsidR="00587D8A" w:rsidRPr="00587D8A" w:rsidRDefault="00790326" w:rsidP="00587D8A">
            <w:pPr>
              <w:pStyle w:val="ListParagraph"/>
              <w:numPr>
                <w:ilvl w:val="0"/>
                <w:numId w:val="15"/>
              </w:numPr>
              <w:spacing w:line="276" w:lineRule="auto"/>
              <w:rPr>
                <w:rFonts w:ascii="Times New Roman" w:hAnsi="Times New Roman" w:cs="Times New Roman"/>
                <w:sz w:val="20"/>
                <w:szCs w:val="20"/>
              </w:rPr>
            </w:pPr>
            <w:r w:rsidRPr="00587D8A">
              <w:rPr>
                <w:rFonts w:ascii="Times New Roman" w:hAnsi="Times New Roman" w:cs="Times New Roman"/>
                <w:sz w:val="20"/>
                <w:szCs w:val="20"/>
              </w:rPr>
              <w:t>Infrastrukturë</w:t>
            </w:r>
            <w:r w:rsidR="00587D8A" w:rsidRPr="00587D8A">
              <w:rPr>
                <w:rFonts w:ascii="Times New Roman" w:hAnsi="Times New Roman" w:cs="Times New Roman"/>
                <w:sz w:val="20"/>
                <w:szCs w:val="20"/>
              </w:rPr>
              <w:t xml:space="preserve"> të plotë të IT-së.</w:t>
            </w:r>
          </w:p>
          <w:p w:rsidR="00587D8A" w:rsidRPr="00587D8A" w:rsidRDefault="00587D8A" w:rsidP="00587D8A">
            <w:pPr>
              <w:pStyle w:val="ListParagraph"/>
              <w:numPr>
                <w:ilvl w:val="0"/>
                <w:numId w:val="15"/>
              </w:numPr>
              <w:spacing w:line="276" w:lineRule="auto"/>
              <w:rPr>
                <w:rFonts w:ascii="Times New Roman" w:hAnsi="Times New Roman" w:cs="Times New Roman"/>
                <w:sz w:val="20"/>
                <w:szCs w:val="20"/>
              </w:rPr>
            </w:pPr>
            <w:r w:rsidRPr="00587D8A">
              <w:rPr>
                <w:rFonts w:ascii="Times New Roman" w:hAnsi="Times New Roman" w:cs="Times New Roman"/>
                <w:sz w:val="20"/>
                <w:szCs w:val="20"/>
              </w:rPr>
              <w:t>laboratorë kërkimorë dhe didaktikë (nëse parashikohen në shtojcën nr.2)</w:t>
            </w:r>
          </w:p>
          <w:p w:rsidR="00587D8A" w:rsidRPr="00587D8A" w:rsidRDefault="00587D8A" w:rsidP="00587D8A">
            <w:pPr>
              <w:pStyle w:val="ListParagraph"/>
              <w:numPr>
                <w:ilvl w:val="0"/>
                <w:numId w:val="15"/>
              </w:numPr>
              <w:spacing w:line="276" w:lineRule="auto"/>
              <w:rPr>
                <w:rFonts w:ascii="Times New Roman" w:hAnsi="Times New Roman" w:cs="Times New Roman"/>
                <w:sz w:val="20"/>
                <w:szCs w:val="20"/>
              </w:rPr>
            </w:pPr>
            <w:r w:rsidRPr="00587D8A">
              <w:rPr>
                <w:rFonts w:ascii="Times New Roman" w:hAnsi="Times New Roman" w:cs="Times New Roman"/>
                <w:sz w:val="20"/>
                <w:szCs w:val="20"/>
              </w:rPr>
              <w:t>ambulatorë dhe struktura asistenciale (me pajisjet e nevojshme teknologjike sipas specialitetit)</w:t>
            </w:r>
          </w:p>
          <w:p w:rsidR="00587D8A" w:rsidRPr="00587D8A" w:rsidRDefault="00587D8A" w:rsidP="00587D8A">
            <w:pPr>
              <w:pStyle w:val="ListParagraph"/>
              <w:numPr>
                <w:ilvl w:val="0"/>
                <w:numId w:val="15"/>
              </w:numPr>
              <w:spacing w:line="276" w:lineRule="auto"/>
              <w:rPr>
                <w:rFonts w:ascii="Times New Roman" w:hAnsi="Times New Roman" w:cs="Times New Roman"/>
                <w:sz w:val="20"/>
                <w:szCs w:val="20"/>
              </w:rPr>
            </w:pPr>
            <w:r w:rsidRPr="00587D8A">
              <w:rPr>
                <w:rFonts w:ascii="Times New Roman" w:hAnsi="Times New Roman" w:cs="Times New Roman"/>
                <w:sz w:val="20"/>
                <w:szCs w:val="20"/>
              </w:rPr>
              <w:t>ambjente spitalore me shtretër (në rastet kur janë parashikuar në standardet specifike të specialitetit në shtojcën 2)</w:t>
            </w:r>
          </w:p>
          <w:p w:rsidR="00BA509A" w:rsidRPr="00587D8A" w:rsidRDefault="00587D8A" w:rsidP="000260C2">
            <w:pPr>
              <w:spacing w:line="276" w:lineRule="auto"/>
              <w:rPr>
                <w:rFonts w:ascii="Times New Roman" w:hAnsi="Times New Roman" w:cs="Times New Roman"/>
                <w:sz w:val="20"/>
                <w:szCs w:val="20"/>
              </w:rPr>
            </w:pPr>
            <w:r w:rsidRPr="00587D8A">
              <w:rPr>
                <w:rFonts w:ascii="Times New Roman" w:hAnsi="Times New Roman" w:cs="Times New Roman"/>
                <w:sz w:val="20"/>
                <w:szCs w:val="20"/>
              </w:rPr>
              <w:t>Ambjentet më sipër duhet të sigurojnë standardet e sigurisë dhe ato higjenike dhe nuk kanë barriera arkitektonike që pengojnë aksesin në veprimtaritë e ndryshme të parash</w:t>
            </w:r>
            <w:r w:rsidR="000260C2">
              <w:rPr>
                <w:rFonts w:ascii="Times New Roman" w:hAnsi="Times New Roman" w:cs="Times New Roman"/>
                <w:sz w:val="20"/>
                <w:szCs w:val="20"/>
              </w:rPr>
              <w:t>ikuara nga programi i studimit.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587D8A" w:rsidRPr="00587D8A" w:rsidRDefault="00587D8A" w:rsidP="00587D8A">
            <w:pPr>
              <w:spacing w:line="276" w:lineRule="auto"/>
              <w:rPr>
                <w:rFonts w:ascii="Times New Roman" w:hAnsi="Times New Roman" w:cs="Times New Roman"/>
                <w:sz w:val="20"/>
                <w:szCs w:val="20"/>
              </w:rPr>
            </w:pPr>
            <w:r w:rsidRPr="00790326">
              <w:rPr>
                <w:rFonts w:ascii="Times New Roman" w:hAnsi="Times New Roman" w:cs="Times New Roman"/>
                <w:b/>
                <w:sz w:val="20"/>
                <w:szCs w:val="20"/>
              </w:rPr>
              <w:t>Kriteri 4:</w:t>
            </w:r>
            <w:r w:rsidRPr="00587D8A">
              <w:rPr>
                <w:rFonts w:ascii="Times New Roman" w:hAnsi="Times New Roman" w:cs="Times New Roman"/>
                <w:sz w:val="20"/>
                <w:szCs w:val="20"/>
              </w:rPr>
              <w:t xml:space="preserve"> Çdo program specifik i specializimit plotëson standardet specifike sipas tipologjisë së specializimit (psh. laboratorë specifikë, shërbime, shtrime spitalore, etj.) sipas shtojcës 2. Standardet specifike ndahen në:</w:t>
            </w:r>
          </w:p>
          <w:p w:rsidR="00587D8A" w:rsidRPr="00587D8A" w:rsidRDefault="00587D8A" w:rsidP="00587D8A">
            <w:pPr>
              <w:spacing w:line="276" w:lineRule="auto"/>
              <w:rPr>
                <w:rFonts w:ascii="Times New Roman" w:hAnsi="Times New Roman" w:cs="Times New Roman"/>
                <w:sz w:val="20"/>
                <w:szCs w:val="20"/>
              </w:rPr>
            </w:pPr>
            <w:r w:rsidRPr="00790326">
              <w:rPr>
                <w:rFonts w:ascii="Times New Roman" w:hAnsi="Times New Roman" w:cs="Times New Roman"/>
                <w:b/>
                <w:sz w:val="20"/>
                <w:szCs w:val="20"/>
              </w:rPr>
              <w:t>a.</w:t>
            </w:r>
            <w:r w:rsidRPr="00587D8A">
              <w:rPr>
                <w:rFonts w:ascii="Times New Roman" w:hAnsi="Times New Roman" w:cs="Times New Roman"/>
                <w:sz w:val="20"/>
                <w:szCs w:val="20"/>
              </w:rPr>
              <w:t xml:space="preserve">   bazë:  standarde  që  duhet  domosdoshmërisht  të  përmbushen  si  nga struktura bazë dhe nga strukturat dytësore/satelite.</w:t>
            </w:r>
          </w:p>
          <w:p w:rsidR="00587D8A" w:rsidRPr="00587D8A" w:rsidRDefault="00587D8A" w:rsidP="00587D8A">
            <w:pPr>
              <w:spacing w:line="276" w:lineRule="auto"/>
              <w:rPr>
                <w:rFonts w:ascii="Times New Roman" w:hAnsi="Times New Roman" w:cs="Times New Roman"/>
                <w:sz w:val="20"/>
                <w:szCs w:val="20"/>
              </w:rPr>
            </w:pPr>
            <w:r w:rsidRPr="00790326">
              <w:rPr>
                <w:rFonts w:ascii="Times New Roman" w:hAnsi="Times New Roman" w:cs="Times New Roman"/>
                <w:b/>
                <w:sz w:val="20"/>
                <w:szCs w:val="20"/>
              </w:rPr>
              <w:t>b.</w:t>
            </w:r>
            <w:r w:rsidRPr="00587D8A">
              <w:rPr>
                <w:rFonts w:ascii="Times New Roman" w:hAnsi="Times New Roman" w:cs="Times New Roman"/>
                <w:sz w:val="20"/>
                <w:szCs w:val="20"/>
              </w:rPr>
              <w:t xml:space="preserve">   dytësore: standarde që, për të plotësuar kriteret e akreditimit të strukturës, duhet të plotësohen si nga struktura qendrore edhe nga ajo dytësore ose nga strukturat të tjera të IAL-së sipas një përqindjeje të caktuar të parashikuar për akreditimin. Nëse nuk plotësohen as nga struktura bazë e as nga ajo dytësore duhet të plotësohen nga strukturat komplementare me të cilat ka një marrëveshje bashkëpunimi.</w:t>
            </w:r>
          </w:p>
          <w:p w:rsidR="00BA509A" w:rsidRPr="00587D8A" w:rsidRDefault="00790326" w:rsidP="000260C2">
            <w:pPr>
              <w:spacing w:line="276" w:lineRule="auto"/>
              <w:rPr>
                <w:rFonts w:ascii="Times New Roman" w:hAnsi="Times New Roman" w:cs="Times New Roman"/>
                <w:sz w:val="20"/>
                <w:szCs w:val="20"/>
              </w:rPr>
            </w:pPr>
            <w:r w:rsidRPr="00790326">
              <w:rPr>
                <w:rFonts w:ascii="Times New Roman" w:hAnsi="Times New Roman" w:cs="Times New Roman"/>
                <w:b/>
                <w:sz w:val="20"/>
                <w:szCs w:val="20"/>
              </w:rPr>
              <w:t>c.</w:t>
            </w:r>
            <w:r w:rsidRPr="00587D8A">
              <w:rPr>
                <w:rFonts w:ascii="Times New Roman" w:hAnsi="Times New Roman" w:cs="Times New Roman"/>
                <w:sz w:val="20"/>
                <w:szCs w:val="20"/>
              </w:rPr>
              <w:t xml:space="preserve"> shërbime</w:t>
            </w:r>
            <w:r w:rsidR="00587D8A" w:rsidRPr="00587D8A">
              <w:rPr>
                <w:rFonts w:ascii="Times New Roman" w:hAnsi="Times New Roman" w:cs="Times New Roman"/>
                <w:sz w:val="20"/>
                <w:szCs w:val="20"/>
              </w:rPr>
              <w:t xml:space="preserve"> të përgjithshme: janë shërbimet operative që duhet të ketë struktura në të cilën bën pjesë struktura qendrore ose ajo</w:t>
            </w:r>
            <w:r w:rsidR="000260C2">
              <w:rPr>
                <w:rFonts w:ascii="Times New Roman" w:hAnsi="Times New Roman" w:cs="Times New Roman"/>
                <w:sz w:val="20"/>
                <w:szCs w:val="20"/>
              </w:rPr>
              <w:t xml:space="preserve"> dytësore që do të akreditohen.</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587D8A" w:rsidRDefault="00587D8A" w:rsidP="000260C2">
            <w:pPr>
              <w:spacing w:line="276" w:lineRule="auto"/>
              <w:rPr>
                <w:rFonts w:ascii="Times New Roman" w:hAnsi="Times New Roman" w:cs="Times New Roman"/>
                <w:sz w:val="20"/>
                <w:szCs w:val="20"/>
              </w:rPr>
            </w:pPr>
            <w:r w:rsidRPr="00790326">
              <w:rPr>
                <w:rFonts w:ascii="Times New Roman" w:hAnsi="Times New Roman" w:cs="Times New Roman"/>
                <w:b/>
                <w:sz w:val="20"/>
                <w:szCs w:val="20"/>
              </w:rPr>
              <w:t>Kriteri 5:</w:t>
            </w:r>
            <w:r w:rsidRPr="00587D8A">
              <w:rPr>
                <w:rFonts w:ascii="Times New Roman" w:hAnsi="Times New Roman" w:cs="Times New Roman"/>
                <w:sz w:val="20"/>
                <w:szCs w:val="20"/>
              </w:rPr>
              <w:t xml:space="preserve"> Institucioni që ofron programet specializuese garanton se ka kapacitete të mjaftueshme në personel shëndetësor, ndihmës dhe administrativ në strukturat qendrore dhe dytësore për të mbuluar nevojat e specialiteteve të ofruara, në bazë të kapaciteteve.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587D8A" w:rsidRDefault="00587D8A" w:rsidP="000260C2">
            <w:pPr>
              <w:spacing w:line="276" w:lineRule="auto"/>
              <w:rPr>
                <w:rFonts w:ascii="Times New Roman" w:hAnsi="Times New Roman" w:cs="Times New Roman"/>
                <w:sz w:val="20"/>
                <w:szCs w:val="20"/>
              </w:rPr>
            </w:pPr>
            <w:r w:rsidRPr="00790326">
              <w:rPr>
                <w:rFonts w:ascii="Times New Roman" w:hAnsi="Times New Roman" w:cs="Times New Roman"/>
                <w:b/>
                <w:sz w:val="20"/>
                <w:szCs w:val="20"/>
              </w:rPr>
              <w:t>Kriteri 6:</w:t>
            </w:r>
            <w:r w:rsidRPr="00587D8A">
              <w:rPr>
                <w:rFonts w:ascii="Times New Roman" w:hAnsi="Times New Roman" w:cs="Times New Roman"/>
                <w:sz w:val="20"/>
                <w:szCs w:val="20"/>
              </w:rPr>
              <w:t xml:space="preserve"> Institucioni  që  ofron  programet  specializuese  është  i  mirëorganizuar  dhe disponon dokumentacion që tregon mënyrën e organizimit dhe strukturën drejtuese si dhe personelin administrativ dhe akademik me titujt përkatës si dhe rolet e parashikuara për secilin.</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0260C2">
        <w:trPr>
          <w:trHeight w:val="315"/>
        </w:trPr>
        <w:tc>
          <w:tcPr>
            <w:tcW w:w="3204"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76"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9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725"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25"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0260C2">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76" w:type="dxa"/>
          </w:tcPr>
          <w:p w:rsidR="00C1352C" w:rsidRPr="00500475" w:rsidRDefault="00C1352C" w:rsidP="00243BA4">
            <w:pPr>
              <w:spacing w:line="276" w:lineRule="auto"/>
              <w:jc w:val="both"/>
              <w:rPr>
                <w:rFonts w:ascii="Times New Roman" w:hAnsi="Times New Roman" w:cs="Times New Roman"/>
                <w:b/>
              </w:rPr>
            </w:pPr>
          </w:p>
        </w:tc>
        <w:tc>
          <w:tcPr>
            <w:tcW w:w="1590"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III.5</w:t>
            </w:r>
            <w:r w:rsidRPr="00500475">
              <w:rPr>
                <w:rFonts w:ascii="Times New Roman" w:hAnsi="Times New Roman" w:cs="Times New Roman"/>
                <w:b/>
                <w:lang w:val="sq-AL"/>
              </w:rPr>
              <w:tab/>
            </w:r>
          </w:p>
          <w:p w:rsidR="00C1352C" w:rsidRPr="00500475" w:rsidRDefault="00790326" w:rsidP="00BA509A">
            <w:pPr>
              <w:jc w:val="both"/>
              <w:rPr>
                <w:rFonts w:ascii="Times New Roman" w:hAnsi="Times New Roman" w:cs="Times New Roman"/>
                <w:b/>
                <w:lang w:val="sq-AL"/>
              </w:rPr>
            </w:pPr>
            <w:r>
              <w:rPr>
                <w:rFonts w:ascii="Times New Roman" w:hAnsi="Times New Roman" w:cs="Times New Roman"/>
                <w:b/>
                <w:lang w:val="sq-AL"/>
              </w:rPr>
              <w:t xml:space="preserve">Rrjeti formues </w:t>
            </w:r>
            <w:r w:rsidRPr="00790326">
              <w:rPr>
                <w:rFonts w:ascii="Times New Roman" w:hAnsi="Times New Roman" w:cs="Times New Roman"/>
                <w:b/>
                <w:lang w:val="sq-AL"/>
              </w:rPr>
              <w:t>plotëson kriteret minimale të parashikuara dhe është i përshtatshëm për të ofruar programet specializuese afatgjata në fushën e mjekësisë.</w:t>
            </w:r>
          </w:p>
        </w:tc>
      </w:tr>
      <w:tr w:rsidR="00C1352C" w:rsidRPr="00500475" w:rsidTr="00EC799F">
        <w:trPr>
          <w:trHeight w:val="377"/>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5972BF">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EC799F">
        <w:tc>
          <w:tcPr>
            <w:tcW w:w="3240" w:type="dxa"/>
          </w:tcPr>
          <w:p w:rsidR="00BA509A" w:rsidRPr="004307BA" w:rsidRDefault="00790326" w:rsidP="00A0413B">
            <w:pPr>
              <w:spacing w:line="276" w:lineRule="auto"/>
              <w:rPr>
                <w:rFonts w:ascii="Times New Roman" w:hAnsi="Times New Roman" w:cs="Times New Roman"/>
                <w:sz w:val="20"/>
                <w:szCs w:val="20"/>
              </w:rPr>
            </w:pPr>
            <w:r w:rsidRPr="004307BA">
              <w:rPr>
                <w:rFonts w:ascii="Times New Roman" w:hAnsi="Times New Roman" w:cs="Times New Roman"/>
                <w:b/>
                <w:sz w:val="20"/>
                <w:szCs w:val="20"/>
              </w:rPr>
              <w:t>Kriteri 1:</w:t>
            </w:r>
            <w:r w:rsidRPr="004307BA">
              <w:rPr>
                <w:rFonts w:ascii="Times New Roman" w:hAnsi="Times New Roman" w:cs="Times New Roman"/>
                <w:sz w:val="20"/>
                <w:szCs w:val="20"/>
              </w:rPr>
              <w:t xml:space="preserve"> Institucioni plotëson kërkesat minimale të përgjithshme të parashikuara në këtë dokument </w:t>
            </w:r>
            <w:r w:rsidR="00A0413B">
              <w:rPr>
                <w:rFonts w:ascii="Times New Roman" w:hAnsi="Times New Roman" w:cs="Times New Roman"/>
                <w:sz w:val="20"/>
                <w:szCs w:val="20"/>
              </w:rPr>
              <w:t>përsa i përket rrjetit formues.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4307BA" w:rsidRDefault="00790326"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2:</w:t>
            </w:r>
            <w:r w:rsidRPr="004307BA">
              <w:rPr>
                <w:rFonts w:ascii="Times New Roman" w:hAnsi="Times New Roman" w:cs="Times New Roman"/>
                <w:sz w:val="20"/>
                <w:szCs w:val="20"/>
              </w:rPr>
              <w:t xml:space="preserve"> Institucioni duhet të plotësojë kërkesat minimale specifike për çdo specialitet të parashikuara në shtojcën 2 të këtij dokumenti </w:t>
            </w:r>
            <w:r w:rsidR="00A0413B">
              <w:rPr>
                <w:rFonts w:ascii="Times New Roman" w:hAnsi="Times New Roman" w:cs="Times New Roman"/>
                <w:sz w:val="20"/>
                <w:szCs w:val="20"/>
              </w:rPr>
              <w:t>përsa i përket rrjetit formues.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3:</w:t>
            </w:r>
            <w:r w:rsidRPr="004307BA">
              <w:rPr>
                <w:rFonts w:ascii="Times New Roman" w:hAnsi="Times New Roman" w:cs="Times New Roman"/>
                <w:sz w:val="20"/>
                <w:szCs w:val="20"/>
              </w:rPr>
              <w:t xml:space="preserve"> Kërkesat e përgjithshme dhe specifike janë të organizuara sipas kritereve të mëposhtme:</w:t>
            </w:r>
          </w:p>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a.</w:t>
            </w:r>
            <w:r w:rsidRPr="004307BA">
              <w:rPr>
                <w:rFonts w:ascii="Times New Roman" w:hAnsi="Times New Roman" w:cs="Times New Roman"/>
                <w:sz w:val="20"/>
                <w:szCs w:val="20"/>
              </w:rPr>
              <w:t xml:space="preserve">   Përshtatshmëria e strukturave dhe pajisjeve, me shërbimet përkatëse të përgjithshme dhe diagnostikuese dhe ekzistencën në to të specialiteteve të ngjashme</w:t>
            </w:r>
          </w:p>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b.</w:t>
            </w:r>
            <w:r w:rsidRPr="004307BA">
              <w:rPr>
                <w:rFonts w:ascii="Times New Roman" w:hAnsi="Times New Roman" w:cs="Times New Roman"/>
                <w:sz w:val="20"/>
                <w:szCs w:val="20"/>
              </w:rPr>
              <w:t xml:space="preserve">   Ekzistenca e numrit dhe procedurave praktike të mjaftueshme për një formim të plotë profesional</w:t>
            </w:r>
          </w:p>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c.</w:t>
            </w:r>
            <w:r w:rsidRPr="004307BA">
              <w:rPr>
                <w:rFonts w:ascii="Times New Roman" w:hAnsi="Times New Roman" w:cs="Times New Roman"/>
                <w:sz w:val="20"/>
                <w:szCs w:val="20"/>
              </w:rPr>
              <w:t xml:space="preserve">   Burime financiare të mjaftueshme</w:t>
            </w:r>
          </w:p>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d.</w:t>
            </w:r>
            <w:r w:rsidRPr="004307BA">
              <w:rPr>
                <w:rFonts w:ascii="Times New Roman" w:hAnsi="Times New Roman" w:cs="Times New Roman"/>
                <w:sz w:val="20"/>
                <w:szCs w:val="20"/>
              </w:rPr>
              <w:t xml:space="preserve">   Tutorë dhe pedagogë të përshtatshëm dhe ekspertë</w:t>
            </w:r>
          </w:p>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e.</w:t>
            </w:r>
            <w:r w:rsidRPr="004307BA">
              <w:rPr>
                <w:rFonts w:ascii="Times New Roman" w:hAnsi="Times New Roman" w:cs="Times New Roman"/>
                <w:sz w:val="20"/>
                <w:szCs w:val="20"/>
              </w:rPr>
              <w:t xml:space="preserve"> Strukturë organizative e përshtatshme, me kapacitetet e nevojshme profesionale</w:t>
            </w:r>
          </w:p>
          <w:p w:rsidR="004307BA" w:rsidRPr="004307BA" w:rsidRDefault="00596BE2"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f.</w:t>
            </w:r>
            <w:r>
              <w:rPr>
                <w:rFonts w:ascii="Times New Roman" w:hAnsi="Times New Roman" w:cs="Times New Roman"/>
                <w:sz w:val="20"/>
                <w:szCs w:val="20"/>
              </w:rPr>
              <w:t xml:space="preserve">  </w:t>
            </w:r>
            <w:r w:rsidR="004307BA" w:rsidRPr="004307BA">
              <w:rPr>
                <w:rFonts w:ascii="Times New Roman" w:hAnsi="Times New Roman" w:cs="Times New Roman"/>
                <w:sz w:val="20"/>
                <w:szCs w:val="20"/>
              </w:rPr>
              <w:t>Programim i aktiviteteve orientuese, analizuese sipas kërkesave të tregut dhe përcaktimi i një programi formues</w:t>
            </w:r>
          </w:p>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g.</w:t>
            </w:r>
            <w:r w:rsidRPr="004307BA">
              <w:rPr>
                <w:rFonts w:ascii="Times New Roman" w:hAnsi="Times New Roman" w:cs="Times New Roman"/>
                <w:sz w:val="20"/>
                <w:szCs w:val="20"/>
              </w:rPr>
              <w:t xml:space="preserve">   Seleksionimi dhe vlerësimi i studentëve</w:t>
            </w:r>
          </w:p>
          <w:p w:rsidR="00BA509A" w:rsidRPr="004307BA" w:rsidRDefault="004307BA"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h.</w:t>
            </w:r>
            <w:r w:rsidRPr="004307BA">
              <w:rPr>
                <w:rFonts w:ascii="Times New Roman" w:hAnsi="Times New Roman" w:cs="Times New Roman"/>
                <w:sz w:val="20"/>
                <w:szCs w:val="20"/>
              </w:rPr>
              <w:t xml:space="preserve">   Efikasiteti dhe efiçenca në aktivite</w:t>
            </w:r>
            <w:r w:rsidR="00A0413B">
              <w:rPr>
                <w:rFonts w:ascii="Times New Roman" w:hAnsi="Times New Roman" w:cs="Times New Roman"/>
                <w:sz w:val="20"/>
                <w:szCs w:val="20"/>
              </w:rPr>
              <w:t>tet e ndryshme të parashikuara.</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4307BA" w:rsidRDefault="004307BA"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4:</w:t>
            </w:r>
            <w:r w:rsidRPr="004307BA">
              <w:rPr>
                <w:rFonts w:ascii="Times New Roman" w:hAnsi="Times New Roman" w:cs="Times New Roman"/>
                <w:sz w:val="20"/>
                <w:szCs w:val="20"/>
              </w:rPr>
              <w:t xml:space="preserve"> Institucioni disponon dokumentacion që provon përbërjen e rrjetit formues dhe të gjitha strukturave të përfshira në formimi</w:t>
            </w:r>
            <w:r w:rsidR="00A0413B">
              <w:rPr>
                <w:rFonts w:ascii="Times New Roman" w:hAnsi="Times New Roman" w:cs="Times New Roman"/>
                <w:sz w:val="20"/>
                <w:szCs w:val="20"/>
              </w:rPr>
              <w:t>n specializues (qendrore/bazë).</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4307BA" w:rsidRDefault="004307BA"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5:</w:t>
            </w:r>
            <w:r w:rsidRPr="004307BA">
              <w:rPr>
                <w:rFonts w:ascii="Times New Roman" w:hAnsi="Times New Roman" w:cs="Times New Roman"/>
                <w:sz w:val="20"/>
                <w:szCs w:val="20"/>
              </w:rPr>
              <w:t xml:space="preserve"> Strukturat qendrore dhe dytësore të përfshira në formimin specializues duhet të jenë të akredituar</w:t>
            </w:r>
            <w:r w:rsidR="00A0413B">
              <w:rPr>
                <w:rFonts w:ascii="Times New Roman" w:hAnsi="Times New Roman" w:cs="Times New Roman"/>
                <w:sz w:val="20"/>
                <w:szCs w:val="20"/>
              </w:rPr>
              <w:t>a sipas legjislacionit ne fuqi.</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4307BA" w:rsidRDefault="004307BA"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6:</w:t>
            </w:r>
            <w:r w:rsidRPr="004307BA">
              <w:rPr>
                <w:rFonts w:ascii="Times New Roman" w:hAnsi="Times New Roman" w:cs="Times New Roman"/>
                <w:sz w:val="20"/>
                <w:szCs w:val="20"/>
              </w:rPr>
              <w:t xml:space="preserve"> Institucioni duhet të disponojë dokumentacion që sqaron ekzistencën e shërbimeve të përgjithshme dhe diagnostikuese të përfshira në formimin e specializantëve. Shërbimet e përgjithshme dhe diagnostikuese të pranishme në strukturat shëndetësore pjesë e rrjetit formues nuk mund të jenë të ndryshme apo inferiore nga ato të parashikuara në shtojcën 2 për a</w:t>
            </w:r>
            <w:r w:rsidR="00A0413B">
              <w:rPr>
                <w:rFonts w:ascii="Times New Roman" w:hAnsi="Times New Roman" w:cs="Times New Roman"/>
                <w:sz w:val="20"/>
                <w:szCs w:val="20"/>
              </w:rPr>
              <w:t>kreditimin e strukturave.</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4307BA" w:rsidRDefault="004307BA"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7:</w:t>
            </w:r>
            <w:r w:rsidRPr="004307BA">
              <w:rPr>
                <w:rFonts w:ascii="Times New Roman" w:hAnsi="Times New Roman" w:cs="Times New Roman"/>
                <w:sz w:val="20"/>
                <w:szCs w:val="20"/>
              </w:rPr>
              <w:t xml:space="preserve"> Institucioni disponon dokumentacion që sqaron ekzistencën e specialiteteve të ngjashme në strukturat shëndetësore pjesë të rrjetit formues, shërbimeve të përgjithshme dhe diagnostikuese të përfshira në formimin e spec</w:t>
            </w:r>
            <w:r w:rsidR="00A0413B">
              <w:rPr>
                <w:rFonts w:ascii="Times New Roman" w:hAnsi="Times New Roman" w:cs="Times New Roman"/>
                <w:sz w:val="20"/>
                <w:szCs w:val="20"/>
              </w:rPr>
              <w:t>ializantëve (sipas shtojcës 2).</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4307BA" w:rsidRDefault="004307BA"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8:</w:t>
            </w:r>
            <w:r w:rsidRPr="004307BA">
              <w:rPr>
                <w:rFonts w:ascii="Times New Roman" w:hAnsi="Times New Roman" w:cs="Times New Roman"/>
                <w:sz w:val="20"/>
                <w:szCs w:val="20"/>
              </w:rPr>
              <w:t xml:space="preserve"> Institucioni   disponon   dokumentacion   që   sqaron   numrin   e   shërbimeve </w:t>
            </w:r>
            <w:r w:rsidR="00596BE2" w:rsidRPr="004307BA">
              <w:rPr>
                <w:rFonts w:ascii="Times New Roman" w:hAnsi="Times New Roman" w:cs="Times New Roman"/>
                <w:sz w:val="20"/>
                <w:szCs w:val="20"/>
              </w:rPr>
              <w:t>mjekësore që ofron për ushtrimin profesional të specializantëve (</w:t>
            </w:r>
            <w:r w:rsidR="00A0413B">
              <w:rPr>
                <w:rFonts w:ascii="Times New Roman" w:hAnsi="Times New Roman" w:cs="Times New Roman"/>
                <w:sz w:val="20"/>
                <w:szCs w:val="20"/>
              </w:rPr>
              <w:t>sipas shtojcës 2).</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4307BA" w:rsidRPr="00500475" w:rsidTr="00EC799F">
        <w:tc>
          <w:tcPr>
            <w:tcW w:w="3240" w:type="dxa"/>
          </w:tcPr>
          <w:p w:rsidR="004307BA" w:rsidRPr="004307BA" w:rsidRDefault="004307BA" w:rsidP="004307BA">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9:</w:t>
            </w:r>
            <w:r w:rsidRPr="004307BA">
              <w:rPr>
                <w:rFonts w:ascii="Times New Roman" w:hAnsi="Times New Roman" w:cs="Times New Roman"/>
                <w:sz w:val="20"/>
                <w:szCs w:val="20"/>
              </w:rPr>
              <w:t xml:space="preserve"> Institucioni   duhet   të   disponojë   dokumentacion   që   sqaron   aktivitetin asistencial vjetor të strukturave të përfshira në rrjetin formues. Aktiviteti asistencial vjetor që kryhet nga specializantët në kuadër të formimit të tyre nuk mund të jetë më i madh se 30% e aktivitetit asistencial total që kryejnë strukturat e përfshira në rrje</w:t>
            </w:r>
            <w:r w:rsidR="00A0413B">
              <w:rPr>
                <w:rFonts w:ascii="Times New Roman" w:hAnsi="Times New Roman" w:cs="Times New Roman"/>
                <w:sz w:val="20"/>
                <w:szCs w:val="20"/>
              </w:rPr>
              <w:t>tin formues (sipas shtojcës 2).</w:t>
            </w:r>
          </w:p>
        </w:tc>
        <w:tc>
          <w:tcPr>
            <w:tcW w:w="6480" w:type="dxa"/>
            <w:gridSpan w:val="4"/>
          </w:tcPr>
          <w:p w:rsidR="004307BA" w:rsidRPr="00500475" w:rsidRDefault="004307BA" w:rsidP="00243BA4">
            <w:pPr>
              <w:spacing w:line="276" w:lineRule="auto"/>
              <w:jc w:val="both"/>
              <w:rPr>
                <w:rFonts w:ascii="Times New Roman" w:hAnsi="Times New Roman" w:cs="Times New Roman"/>
                <w:b/>
              </w:rPr>
            </w:pPr>
          </w:p>
        </w:tc>
      </w:tr>
      <w:tr w:rsidR="00C1352C" w:rsidRPr="00500475" w:rsidTr="00EC799F">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80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EC799F">
        <w:trPr>
          <w:trHeight w:val="422"/>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3"/>
        <w:gridCol w:w="1341"/>
        <w:gridCol w:w="1768"/>
        <w:gridCol w:w="1633"/>
        <w:gridCol w:w="1735"/>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III.6</w:t>
            </w:r>
            <w:r w:rsidRPr="00500475">
              <w:rPr>
                <w:rFonts w:ascii="Times New Roman" w:hAnsi="Times New Roman" w:cs="Times New Roman"/>
                <w:b/>
                <w:lang w:val="sq-AL"/>
              </w:rPr>
              <w:tab/>
            </w:r>
          </w:p>
          <w:p w:rsidR="00C1352C" w:rsidRPr="00500475" w:rsidRDefault="00596BE2" w:rsidP="00243BA4">
            <w:pPr>
              <w:rPr>
                <w:rFonts w:ascii="Times New Roman" w:hAnsi="Times New Roman" w:cs="Times New Roman"/>
                <w:b/>
                <w:color w:val="000000" w:themeColor="text1"/>
              </w:rPr>
            </w:pPr>
            <w:r w:rsidRPr="00596BE2">
              <w:rPr>
                <w:rFonts w:ascii="Times New Roman" w:hAnsi="Times New Roman" w:cs="Times New Roman"/>
                <w:b/>
                <w:lang w:val="sq-AL"/>
              </w:rPr>
              <w:t>Njësia përgjegjëse për programin e specializimit afatgjatë dëshmon qëndrueshmëri financiare dhe siguron mjetet e duhura të financimit dhe mbështetjes së studentëve</w:t>
            </w:r>
            <w:r>
              <w:rPr>
                <w:rFonts w:ascii="Times New Roman" w:hAnsi="Times New Roman" w:cs="Times New Roman"/>
                <w:b/>
                <w:lang w:val="sq-AL"/>
              </w:rPr>
              <w:t>.</w:t>
            </w:r>
          </w:p>
        </w:tc>
      </w:tr>
      <w:tr w:rsidR="00C1352C" w:rsidRPr="00500475" w:rsidTr="007F3BC7">
        <w:trPr>
          <w:trHeight w:val="377"/>
        </w:trPr>
        <w:tc>
          <w:tcPr>
            <w:tcW w:w="3243"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77" w:type="dxa"/>
            <w:gridSpan w:val="4"/>
            <w:shd w:val="clear" w:color="auto" w:fill="C5E0B3" w:themeFill="accent6" w:themeFillTint="66"/>
          </w:tcPr>
          <w:p w:rsidR="00C1352C" w:rsidRPr="00500475" w:rsidRDefault="00C1352C" w:rsidP="005972BF">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7F3BC7">
        <w:tc>
          <w:tcPr>
            <w:tcW w:w="3243" w:type="dxa"/>
          </w:tcPr>
          <w:p w:rsidR="00BA509A" w:rsidRPr="00596BE2" w:rsidRDefault="00596BE2"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1:</w:t>
            </w:r>
            <w:r w:rsidRPr="00596BE2">
              <w:rPr>
                <w:rFonts w:ascii="Times New Roman" w:hAnsi="Times New Roman" w:cs="Times New Roman"/>
                <w:sz w:val="20"/>
                <w:szCs w:val="20"/>
              </w:rPr>
              <w:t xml:space="preserve"> Institucioni nëpërmjet raporteve dhe auditeve financiare dëshmon ecuri pozitive dhe qëndrueshmëri në gjenerimin dhe përdo</w:t>
            </w:r>
            <w:r w:rsidR="00A0413B">
              <w:rPr>
                <w:rFonts w:ascii="Times New Roman" w:hAnsi="Times New Roman" w:cs="Times New Roman"/>
                <w:sz w:val="20"/>
                <w:szCs w:val="20"/>
              </w:rPr>
              <w:t>rimin e të ardhurave financire.</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7F3BC7">
        <w:tc>
          <w:tcPr>
            <w:tcW w:w="3243" w:type="dxa"/>
          </w:tcPr>
          <w:p w:rsidR="00BA509A" w:rsidRPr="00596BE2" w:rsidRDefault="00596BE2"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2:</w:t>
            </w:r>
            <w:r w:rsidRPr="00596BE2">
              <w:rPr>
                <w:rFonts w:ascii="Times New Roman" w:hAnsi="Times New Roman" w:cs="Times New Roman"/>
                <w:sz w:val="20"/>
                <w:szCs w:val="20"/>
              </w:rPr>
              <w:t xml:space="preserve"> Njësia përgjegjëse siguron nëpërmjet institucionit, projekteve ose financimeve nga subjekte të tjera fondet e nevojshme për zhvillimin </w:t>
            </w:r>
            <w:r w:rsidR="00A0413B">
              <w:rPr>
                <w:rFonts w:ascii="Times New Roman" w:hAnsi="Times New Roman" w:cs="Times New Roman"/>
                <w:sz w:val="20"/>
                <w:szCs w:val="20"/>
              </w:rPr>
              <w:t>e programeve të specializimeve.</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7F3BC7">
        <w:tc>
          <w:tcPr>
            <w:tcW w:w="3243" w:type="dxa"/>
          </w:tcPr>
          <w:p w:rsidR="00BA509A" w:rsidRPr="00596BE2" w:rsidRDefault="00596BE2"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3:</w:t>
            </w:r>
            <w:r w:rsidRPr="00596BE2">
              <w:rPr>
                <w:rFonts w:ascii="Times New Roman" w:hAnsi="Times New Roman" w:cs="Times New Roman"/>
                <w:sz w:val="20"/>
                <w:szCs w:val="20"/>
              </w:rPr>
              <w:t xml:space="preserve"> Programi i studimeve të specializimit afatgjatë mbështetet nga një buxhet i mja</w:t>
            </w:r>
            <w:r w:rsidR="00A0413B">
              <w:rPr>
                <w:rFonts w:ascii="Times New Roman" w:hAnsi="Times New Roman" w:cs="Times New Roman"/>
                <w:sz w:val="20"/>
                <w:szCs w:val="20"/>
              </w:rPr>
              <w:t>ftueshëm i njësisë përgjegjëse.</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596BE2" w:rsidRPr="00500475" w:rsidTr="007F3BC7">
        <w:tc>
          <w:tcPr>
            <w:tcW w:w="3243" w:type="dxa"/>
          </w:tcPr>
          <w:p w:rsidR="00596BE2" w:rsidRPr="00596BE2" w:rsidRDefault="00596BE2" w:rsidP="00596BE2">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4:</w:t>
            </w:r>
            <w:r w:rsidRPr="00596BE2">
              <w:rPr>
                <w:rFonts w:ascii="Times New Roman" w:hAnsi="Times New Roman" w:cs="Times New Roman"/>
                <w:sz w:val="20"/>
                <w:szCs w:val="20"/>
              </w:rPr>
              <w:t xml:space="preserve"> Struktura e shpërndarjes së buxhetit financiar të programit të studimeve të specializimeve përputhet me politikën d</w:t>
            </w:r>
            <w:r w:rsidR="00A0413B">
              <w:rPr>
                <w:rFonts w:ascii="Times New Roman" w:hAnsi="Times New Roman" w:cs="Times New Roman"/>
                <w:sz w:val="20"/>
                <w:szCs w:val="20"/>
              </w:rPr>
              <w:t xml:space="preserve">he zhvillimin e institucionit. </w:t>
            </w:r>
          </w:p>
        </w:tc>
        <w:tc>
          <w:tcPr>
            <w:tcW w:w="6477" w:type="dxa"/>
            <w:gridSpan w:val="4"/>
          </w:tcPr>
          <w:p w:rsidR="00596BE2" w:rsidRPr="00500475" w:rsidRDefault="00596BE2" w:rsidP="00243BA4">
            <w:pPr>
              <w:spacing w:line="276" w:lineRule="auto"/>
              <w:jc w:val="both"/>
              <w:rPr>
                <w:rFonts w:ascii="Times New Roman" w:hAnsi="Times New Roman" w:cs="Times New Roman"/>
                <w:b/>
              </w:rPr>
            </w:pPr>
          </w:p>
        </w:tc>
      </w:tr>
      <w:tr w:rsidR="00596BE2" w:rsidRPr="00500475" w:rsidTr="007F3BC7">
        <w:tc>
          <w:tcPr>
            <w:tcW w:w="3243" w:type="dxa"/>
          </w:tcPr>
          <w:p w:rsidR="00596BE2" w:rsidRPr="00596BE2" w:rsidRDefault="00596BE2" w:rsidP="00A0413B">
            <w:pPr>
              <w:spacing w:line="276" w:lineRule="auto"/>
              <w:rPr>
                <w:rFonts w:ascii="Times New Roman" w:hAnsi="Times New Roman" w:cs="Times New Roman"/>
                <w:sz w:val="20"/>
                <w:szCs w:val="20"/>
              </w:rPr>
            </w:pPr>
            <w:r w:rsidRPr="00596BE2">
              <w:rPr>
                <w:rFonts w:ascii="Times New Roman" w:hAnsi="Times New Roman" w:cs="Times New Roman"/>
                <w:b/>
                <w:sz w:val="20"/>
                <w:szCs w:val="20"/>
              </w:rPr>
              <w:t>Kriteri 5:</w:t>
            </w:r>
            <w:r w:rsidRPr="00596BE2">
              <w:rPr>
                <w:rFonts w:ascii="Times New Roman" w:hAnsi="Times New Roman" w:cs="Times New Roman"/>
                <w:sz w:val="20"/>
                <w:szCs w:val="20"/>
              </w:rPr>
              <w:t xml:space="preserve"> Përdorimi i mjeteve financiare të alokuara për zhvillimin e programit të specializimit është objekt i raportimi</w:t>
            </w:r>
            <w:r w:rsidR="00A0413B">
              <w:rPr>
                <w:rFonts w:ascii="Times New Roman" w:hAnsi="Times New Roman" w:cs="Times New Roman"/>
                <w:sz w:val="20"/>
                <w:szCs w:val="20"/>
              </w:rPr>
              <w:t>t dhe auditimit të vazhdueshëm.</w:t>
            </w:r>
          </w:p>
        </w:tc>
        <w:tc>
          <w:tcPr>
            <w:tcW w:w="6477" w:type="dxa"/>
            <w:gridSpan w:val="4"/>
          </w:tcPr>
          <w:p w:rsidR="00596BE2" w:rsidRPr="00500475" w:rsidRDefault="00596BE2" w:rsidP="00243BA4">
            <w:pPr>
              <w:spacing w:line="276" w:lineRule="auto"/>
              <w:jc w:val="both"/>
              <w:rPr>
                <w:rFonts w:ascii="Times New Roman" w:hAnsi="Times New Roman" w:cs="Times New Roman"/>
                <w:b/>
              </w:rPr>
            </w:pPr>
          </w:p>
        </w:tc>
      </w:tr>
      <w:tr w:rsidR="006565A7" w:rsidRPr="00500475" w:rsidTr="007F3BC7">
        <w:trPr>
          <w:trHeight w:val="315"/>
        </w:trPr>
        <w:tc>
          <w:tcPr>
            <w:tcW w:w="3243"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34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768"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33"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35"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6565A7" w:rsidRPr="00500475" w:rsidTr="007F3BC7">
        <w:trPr>
          <w:trHeight w:val="341"/>
        </w:trPr>
        <w:tc>
          <w:tcPr>
            <w:tcW w:w="3243"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68" w:type="dxa"/>
          </w:tcPr>
          <w:p w:rsidR="00C1352C" w:rsidRPr="00500475" w:rsidRDefault="00C1352C" w:rsidP="00243BA4">
            <w:pPr>
              <w:spacing w:line="276" w:lineRule="auto"/>
              <w:jc w:val="both"/>
              <w:rPr>
                <w:rFonts w:ascii="Times New Roman" w:hAnsi="Times New Roman" w:cs="Times New Roman"/>
                <w:b/>
              </w:rPr>
            </w:pPr>
          </w:p>
        </w:tc>
        <w:tc>
          <w:tcPr>
            <w:tcW w:w="1633" w:type="dxa"/>
          </w:tcPr>
          <w:p w:rsidR="00C1352C" w:rsidRPr="00500475" w:rsidRDefault="00C1352C" w:rsidP="00243BA4">
            <w:pPr>
              <w:spacing w:line="276" w:lineRule="auto"/>
              <w:jc w:val="both"/>
              <w:rPr>
                <w:rFonts w:ascii="Times New Roman" w:hAnsi="Times New Roman" w:cs="Times New Roman"/>
                <w:b/>
              </w:rPr>
            </w:pPr>
          </w:p>
        </w:tc>
        <w:tc>
          <w:tcPr>
            <w:tcW w:w="1735"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C1352C" w:rsidRPr="00500475" w:rsidTr="00504DE4">
        <w:trPr>
          <w:trHeight w:val="701"/>
        </w:trPr>
        <w:tc>
          <w:tcPr>
            <w:tcW w:w="3240" w:type="dxa"/>
            <w:vMerge w:val="restart"/>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standardeve të fushës III</w:t>
            </w:r>
          </w:p>
        </w:tc>
        <w:tc>
          <w:tcPr>
            <w:tcW w:w="135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80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A0413B">
        <w:trPr>
          <w:trHeight w:val="350"/>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301624" w:rsidRDefault="00301624" w:rsidP="00C1352C">
      <w:pPr>
        <w:rPr>
          <w:rFonts w:ascii="Times New Roman" w:hAnsi="Times New Roman" w:cs="Times New Roman"/>
          <w:b/>
          <w:sz w:val="28"/>
          <w:szCs w:val="28"/>
        </w:rPr>
      </w:pPr>
    </w:p>
    <w:p w:rsidR="003F3820" w:rsidRDefault="003F3820" w:rsidP="00C1352C">
      <w:pPr>
        <w:rPr>
          <w:rFonts w:ascii="Times New Roman" w:hAnsi="Times New Roman" w:cs="Times New Roman"/>
          <w:b/>
          <w:sz w:val="28"/>
          <w:szCs w:val="28"/>
        </w:rPr>
      </w:pPr>
    </w:p>
    <w:p w:rsidR="00C1352C" w:rsidRPr="00BF43FB" w:rsidRDefault="00596BE2"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596BE2">
        <w:rPr>
          <w:rFonts w:ascii="Times New Roman" w:eastAsia="Times New Roman" w:hAnsi="Times New Roman" w:cs="Times New Roman"/>
          <w:b/>
          <w:color w:val="000000" w:themeColor="text1"/>
          <w:sz w:val="24"/>
          <w:szCs w:val="24"/>
          <w:lang w:val="sq-AL"/>
        </w:rPr>
        <w:t>KËRKIMI DHE EKSPERIENCA KLINIKE /DIAGNOSTIKUESE</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C1352C" w:rsidP="00243BA4">
            <w:pPr>
              <w:spacing w:line="276" w:lineRule="auto"/>
              <w:jc w:val="both"/>
              <w:rPr>
                <w:rFonts w:ascii="Times New Roman" w:eastAsia="Times New Roman" w:hAnsi="Times New Roman" w:cs="Times New Roman"/>
                <w:b/>
                <w:color w:val="000000" w:themeColor="text1"/>
                <w:lang w:val="sq-AL"/>
              </w:rPr>
            </w:pPr>
            <w:r w:rsidRPr="00A962CD">
              <w:rPr>
                <w:rFonts w:ascii="Times New Roman" w:eastAsia="Times New Roman" w:hAnsi="Times New Roman" w:cs="Times New Roman"/>
                <w:b/>
                <w:color w:val="000000" w:themeColor="text1"/>
                <w:lang w:val="sq-AL"/>
              </w:rPr>
              <w:t>Standardi IV.1</w:t>
            </w:r>
            <w:r w:rsidRPr="00A962CD">
              <w:rPr>
                <w:rFonts w:ascii="Times New Roman" w:eastAsia="Times New Roman" w:hAnsi="Times New Roman" w:cs="Times New Roman"/>
                <w:b/>
                <w:color w:val="000000" w:themeColor="text1"/>
                <w:lang w:val="sq-AL"/>
              </w:rPr>
              <w:tab/>
            </w:r>
          </w:p>
          <w:p w:rsidR="00C1352C" w:rsidRPr="00A962CD" w:rsidRDefault="00596BE2" w:rsidP="00243BA4">
            <w:pPr>
              <w:spacing w:line="276" w:lineRule="auto"/>
              <w:jc w:val="both"/>
              <w:rPr>
                <w:rFonts w:ascii="Times New Roman" w:hAnsi="Times New Roman" w:cs="Times New Roman"/>
                <w:b/>
              </w:rPr>
            </w:pPr>
            <w:r w:rsidRPr="00596BE2">
              <w:rPr>
                <w:rFonts w:ascii="Times New Roman" w:eastAsia="Times New Roman" w:hAnsi="Times New Roman" w:cs="Times New Roman"/>
                <w:b/>
                <w:bCs/>
                <w:lang w:val="sq-AL"/>
              </w:rPr>
              <w:t>Specializanti ka një tutor që e ndjek atë gjatë gjithë periudhës së specializimit.</w:t>
            </w:r>
          </w:p>
        </w:tc>
      </w:tr>
      <w:tr w:rsidR="00C1352C" w:rsidRPr="00A962CD" w:rsidTr="003A469E">
        <w:trPr>
          <w:trHeight w:val="395"/>
        </w:trPr>
        <w:tc>
          <w:tcPr>
            <w:tcW w:w="324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13" w:type="dxa"/>
            <w:gridSpan w:val="4"/>
            <w:shd w:val="clear" w:color="auto" w:fill="C5E0B3" w:themeFill="accent6" w:themeFillTint="66"/>
          </w:tcPr>
          <w:p w:rsidR="00C1352C" w:rsidRPr="00A962CD" w:rsidRDefault="00C1352C" w:rsidP="005972BF">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504DE4">
        <w:tc>
          <w:tcPr>
            <w:tcW w:w="3240" w:type="dxa"/>
          </w:tcPr>
          <w:p w:rsidR="00DB266E" w:rsidRPr="00037AE6" w:rsidRDefault="00063277" w:rsidP="0019184F">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1:</w:t>
            </w:r>
            <w:r w:rsidRPr="00037AE6">
              <w:rPr>
                <w:rFonts w:ascii="Times New Roman" w:hAnsi="Times New Roman" w:cs="Times New Roman"/>
                <w:sz w:val="20"/>
                <w:szCs w:val="20"/>
              </w:rPr>
              <w:t xml:space="preserve"> Studenti ka një udhëheqës klinik (tutor) të diplomuar dhe specializuar në fushën e programit të studimit të aplikantit i cili ka një eksperiencë të paktën 10 (dhjetë) vjeçare në fushën klinike diagno</w:t>
            </w:r>
            <w:r w:rsidR="0019184F">
              <w:rPr>
                <w:rFonts w:ascii="Times New Roman" w:hAnsi="Times New Roman" w:cs="Times New Roman"/>
                <w:sz w:val="20"/>
                <w:szCs w:val="20"/>
              </w:rPr>
              <w:t>stike me gradën “Doktor”.</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037AE6" w:rsidRDefault="00063277" w:rsidP="0019184F">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2:</w:t>
            </w:r>
            <w:r w:rsidRPr="00037AE6">
              <w:rPr>
                <w:rFonts w:ascii="Times New Roman" w:hAnsi="Times New Roman" w:cs="Times New Roman"/>
                <w:sz w:val="20"/>
                <w:szCs w:val="20"/>
              </w:rPr>
              <w:t xml:space="preserve"> Njësia bazë përgjegjëse/shërbimi përgjegjës përzgjedh udhëheqësit klinikë, të aftë për të drejtuar punën klinike e kërkimore të specializantëve, mbështetur në vlerësimin e veprimtarive klinike e kërkimore botuese të </w:t>
            </w:r>
            <w:r w:rsidR="0019184F">
              <w:rPr>
                <w:rFonts w:ascii="Times New Roman" w:hAnsi="Times New Roman" w:cs="Times New Roman"/>
                <w:sz w:val="20"/>
                <w:szCs w:val="20"/>
              </w:rPr>
              <w:t>tyre, brenda e jashtë vendit.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037AE6" w:rsidRDefault="00063277" w:rsidP="0019184F">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3:</w:t>
            </w:r>
            <w:r w:rsidRPr="00037AE6">
              <w:rPr>
                <w:rFonts w:ascii="Times New Roman" w:hAnsi="Times New Roman" w:cs="Times New Roman"/>
                <w:sz w:val="20"/>
                <w:szCs w:val="20"/>
              </w:rPr>
              <w:t xml:space="preserve"> Tutori është i punësuar me kohë të plotë pranë njërës nga strukturat e rrjetit formues dhe ka një kontratë bashkëpunimi me institucionin q</w:t>
            </w:r>
            <w:r w:rsidR="0019184F">
              <w:rPr>
                <w:rFonts w:ascii="Times New Roman" w:hAnsi="Times New Roman" w:cs="Times New Roman"/>
                <w:sz w:val="20"/>
                <w:szCs w:val="20"/>
              </w:rPr>
              <w:t>ë ofron programin specializues.</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037AE6" w:rsidRDefault="00063277" w:rsidP="0019184F">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4:</w:t>
            </w:r>
            <w:r w:rsidRPr="00037AE6">
              <w:rPr>
                <w:rFonts w:ascii="Times New Roman" w:hAnsi="Times New Roman" w:cs="Times New Roman"/>
                <w:sz w:val="20"/>
                <w:szCs w:val="20"/>
              </w:rPr>
              <w:t xml:space="preserve"> Udhëheqësit klinikë punojnë për përditësimin e njohurive dhe aftësive të tyre, mbështetur në marrëveshjet institucionale, me qëllim mundësimin e shkëmbimeve të praktikave më të mira dhe dhënien e këshillave në mbës</w:t>
            </w:r>
            <w:r w:rsidR="0019184F">
              <w:rPr>
                <w:rFonts w:ascii="Times New Roman" w:hAnsi="Times New Roman" w:cs="Times New Roman"/>
                <w:sz w:val="20"/>
                <w:szCs w:val="20"/>
              </w:rPr>
              <w:t>htetjen efektive të studentëve.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037AE6" w:rsidRDefault="00063277" w:rsidP="00037AE6">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5:</w:t>
            </w:r>
            <w:r w:rsidRPr="00037AE6">
              <w:rPr>
                <w:rFonts w:ascii="Times New Roman" w:hAnsi="Times New Roman" w:cs="Times New Roman"/>
                <w:sz w:val="20"/>
                <w:szCs w:val="20"/>
              </w:rPr>
              <w:t xml:space="preserve"> Udhëheqësi klinik ka ekspertizën, formimin dhe udhëzimet e duhura për rolin e tij në udhëheqjen e specializantit në realizimin e studimeve specializuese dhe në veça</w:t>
            </w:r>
            <w:r w:rsidR="0019184F">
              <w:rPr>
                <w:rFonts w:ascii="Times New Roman" w:hAnsi="Times New Roman" w:cs="Times New Roman"/>
                <w:sz w:val="20"/>
                <w:szCs w:val="20"/>
              </w:rPr>
              <w:t>nti të pjesës praktike/klinike.</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037AE6" w:rsidRDefault="00063277" w:rsidP="00037AE6">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6:</w:t>
            </w:r>
            <w:r w:rsidRPr="00037AE6">
              <w:rPr>
                <w:rFonts w:ascii="Times New Roman" w:hAnsi="Times New Roman" w:cs="Times New Roman"/>
                <w:sz w:val="20"/>
                <w:szCs w:val="20"/>
              </w:rPr>
              <w:t xml:space="preserve"> Udhëheqësi klinik nuk mund të mbikëqyrë më shumë se 3 (tre) studentë n</w:t>
            </w:r>
            <w:r w:rsidR="0019184F">
              <w:rPr>
                <w:rFonts w:ascii="Times New Roman" w:hAnsi="Times New Roman" w:cs="Times New Roman"/>
                <w:sz w:val="20"/>
                <w:szCs w:val="20"/>
              </w:rPr>
              <w:t>jëkohësisht.</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037AE6" w:rsidRDefault="00063277" w:rsidP="00037AE6">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7:</w:t>
            </w:r>
            <w:r w:rsidRPr="00037AE6">
              <w:rPr>
                <w:rFonts w:ascii="Times New Roman" w:hAnsi="Times New Roman" w:cs="Times New Roman"/>
                <w:sz w:val="20"/>
                <w:szCs w:val="20"/>
              </w:rPr>
              <w:t xml:space="preserve"> Fusha e specializimit të udhëheqësit përputhet me atë të programit speci</w:t>
            </w:r>
            <w:r w:rsidR="0019184F">
              <w:rPr>
                <w:rFonts w:ascii="Times New Roman" w:hAnsi="Times New Roman" w:cs="Times New Roman"/>
                <w:sz w:val="20"/>
                <w:szCs w:val="20"/>
              </w:rPr>
              <w:t>alizues që ndjek specializanti.</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037AE6" w:rsidRDefault="00037AE6" w:rsidP="00037AE6">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8:</w:t>
            </w:r>
            <w:r w:rsidRPr="00037AE6">
              <w:rPr>
                <w:rFonts w:ascii="Times New Roman" w:hAnsi="Times New Roman" w:cs="Times New Roman"/>
                <w:sz w:val="20"/>
                <w:szCs w:val="20"/>
              </w:rPr>
              <w:t xml:space="preserve"> Në të gjitha rastet, studenti ka vetëm një pikë të identifikuar kontakti, i cili duhet të jetë udhëheqësi klinik kryesor i tij. Nëse udhëheqësi kryesor nuk është në dispozicion, studentit i bëhet e ditur se cili do të jet</w:t>
            </w:r>
            <w:r w:rsidR="0019184F">
              <w:rPr>
                <w:rFonts w:ascii="Times New Roman" w:hAnsi="Times New Roman" w:cs="Times New Roman"/>
                <w:sz w:val="20"/>
                <w:szCs w:val="20"/>
              </w:rPr>
              <w:t>ë personi që do ta zëvendësojë.</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037AE6" w:rsidRPr="00A962CD" w:rsidTr="00504DE4">
        <w:tc>
          <w:tcPr>
            <w:tcW w:w="3240" w:type="dxa"/>
          </w:tcPr>
          <w:p w:rsidR="00037AE6" w:rsidRPr="00037AE6" w:rsidRDefault="00037AE6" w:rsidP="00037AE6">
            <w:pPr>
              <w:spacing w:line="276" w:lineRule="auto"/>
              <w:rPr>
                <w:rFonts w:ascii="Times New Roman" w:hAnsi="Times New Roman" w:cs="Times New Roman"/>
                <w:sz w:val="20"/>
                <w:szCs w:val="20"/>
              </w:rPr>
            </w:pPr>
            <w:r w:rsidRPr="00037AE6">
              <w:rPr>
                <w:rFonts w:ascii="Times New Roman" w:hAnsi="Times New Roman" w:cs="Times New Roman"/>
                <w:b/>
                <w:sz w:val="20"/>
                <w:szCs w:val="20"/>
              </w:rPr>
              <w:t>Kriteri 9:</w:t>
            </w:r>
            <w:r w:rsidRPr="00037AE6">
              <w:rPr>
                <w:rFonts w:ascii="Times New Roman" w:hAnsi="Times New Roman" w:cs="Times New Roman"/>
                <w:sz w:val="20"/>
                <w:szCs w:val="20"/>
              </w:rPr>
              <w:t xml:space="preserve"> Institucioni siguron që udhëheqësi të ketë kohën e mjaftueshme pë</w:t>
            </w:r>
            <w:r w:rsidR="0019184F">
              <w:rPr>
                <w:rFonts w:ascii="Times New Roman" w:hAnsi="Times New Roman" w:cs="Times New Roman"/>
                <w:sz w:val="20"/>
                <w:szCs w:val="20"/>
              </w:rPr>
              <w:t>r ta mbikëqyrur specializantin.</w:t>
            </w:r>
          </w:p>
        </w:tc>
        <w:tc>
          <w:tcPr>
            <w:tcW w:w="6513" w:type="dxa"/>
            <w:gridSpan w:val="4"/>
          </w:tcPr>
          <w:p w:rsidR="00037AE6" w:rsidRPr="00A962CD" w:rsidRDefault="00037AE6" w:rsidP="00243BA4">
            <w:pPr>
              <w:spacing w:line="276" w:lineRule="auto"/>
              <w:jc w:val="both"/>
              <w:rPr>
                <w:rFonts w:ascii="Times New Roman" w:hAnsi="Times New Roman" w:cs="Times New Roman"/>
                <w:b/>
              </w:rPr>
            </w:pPr>
          </w:p>
        </w:tc>
      </w:tr>
      <w:tr w:rsidR="00C1352C" w:rsidRPr="00A962CD" w:rsidTr="00BD411B">
        <w:trPr>
          <w:trHeight w:val="315"/>
        </w:trPr>
        <w:tc>
          <w:tcPr>
            <w:tcW w:w="324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35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43"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3F3820" w:rsidRDefault="00FF19CD" w:rsidP="003F3820">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90"/>
        <w:gridCol w:w="1710"/>
        <w:gridCol w:w="1620"/>
        <w:gridCol w:w="1710"/>
      </w:tblGrid>
      <w:tr w:rsidR="00C1352C" w:rsidRPr="00A962CD" w:rsidTr="00A962CD">
        <w:tc>
          <w:tcPr>
            <w:tcW w:w="9720" w:type="dxa"/>
            <w:gridSpan w:val="5"/>
            <w:shd w:val="clear" w:color="auto" w:fill="F7CAAC" w:themeFill="accent2" w:themeFillTint="66"/>
          </w:tcPr>
          <w:p w:rsidR="00C1352C" w:rsidRPr="00A962CD" w:rsidRDefault="00C1352C" w:rsidP="00243BA4">
            <w:pPr>
              <w:spacing w:line="276" w:lineRule="auto"/>
              <w:jc w:val="both"/>
              <w:rPr>
                <w:rFonts w:ascii="Times New Roman" w:hAnsi="Times New Roman" w:cs="Times New Roman"/>
                <w:b/>
                <w:lang w:val="sq-AL"/>
              </w:rPr>
            </w:pPr>
            <w:r w:rsidRPr="00A962CD">
              <w:rPr>
                <w:rFonts w:ascii="Times New Roman" w:hAnsi="Times New Roman" w:cs="Times New Roman"/>
                <w:b/>
                <w:lang w:val="sq-AL"/>
              </w:rPr>
              <w:t xml:space="preserve">Standardi IV.2  </w:t>
            </w:r>
          </w:p>
          <w:p w:rsidR="00C1352C" w:rsidRPr="00A962CD" w:rsidRDefault="00037AE6" w:rsidP="00243BA4">
            <w:pPr>
              <w:spacing w:line="276" w:lineRule="auto"/>
              <w:jc w:val="both"/>
              <w:rPr>
                <w:rFonts w:ascii="Times New Roman" w:hAnsi="Times New Roman" w:cs="Times New Roman"/>
                <w:b/>
              </w:rPr>
            </w:pPr>
            <w:r w:rsidRPr="00037AE6">
              <w:rPr>
                <w:rFonts w:ascii="Times New Roman" w:eastAsia="Times New Roman" w:hAnsi="Times New Roman" w:cs="Times New Roman"/>
                <w:b/>
                <w:bCs/>
                <w:lang w:val="sq-AL"/>
              </w:rPr>
              <w:t>Objektiva të programit të studimit të specializimeve afatgjata në fushën e mjekësisë janë angazhimi i vazhdueshëm në punën klinike e kërkimore dhe nxitja e punës në ekip e studentëve.</w:t>
            </w:r>
          </w:p>
        </w:tc>
      </w:tr>
      <w:tr w:rsidR="00C1352C" w:rsidRPr="00A962CD" w:rsidTr="0019184F">
        <w:trPr>
          <w:trHeight w:val="359"/>
        </w:trPr>
        <w:tc>
          <w:tcPr>
            <w:tcW w:w="319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A962CD" w:rsidRDefault="00C1352C" w:rsidP="005972BF">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A962CD">
        <w:tc>
          <w:tcPr>
            <w:tcW w:w="3190" w:type="dxa"/>
          </w:tcPr>
          <w:p w:rsidR="00DB266E" w:rsidRPr="003C3A45" w:rsidRDefault="00037AE6" w:rsidP="0019184F">
            <w:pPr>
              <w:spacing w:line="276" w:lineRule="auto"/>
              <w:rPr>
                <w:rFonts w:ascii="Times New Roman" w:hAnsi="Times New Roman" w:cs="Times New Roman"/>
                <w:sz w:val="20"/>
                <w:szCs w:val="20"/>
              </w:rPr>
            </w:pPr>
            <w:r w:rsidRPr="003C3A45">
              <w:rPr>
                <w:rFonts w:ascii="Times New Roman" w:hAnsi="Times New Roman" w:cs="Times New Roman"/>
                <w:b/>
                <w:sz w:val="20"/>
                <w:szCs w:val="20"/>
              </w:rPr>
              <w:t>Kriteri 1:</w:t>
            </w:r>
            <w:r w:rsidRPr="003C3A45">
              <w:rPr>
                <w:rFonts w:ascii="Times New Roman" w:hAnsi="Times New Roman" w:cs="Times New Roman"/>
                <w:sz w:val="20"/>
                <w:szCs w:val="20"/>
              </w:rPr>
              <w:t xml:space="preserve"> Studenti angazhohet në punën klinike e kërkimore për aftësimin dhe përfundimin me s</w:t>
            </w:r>
            <w:r w:rsidR="0019184F">
              <w:rPr>
                <w:rFonts w:ascii="Times New Roman" w:hAnsi="Times New Roman" w:cs="Times New Roman"/>
                <w:sz w:val="20"/>
                <w:szCs w:val="20"/>
              </w:rPr>
              <w:t>ukses të programit të studimit.</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3C3A45" w:rsidRPr="003C3A45" w:rsidRDefault="003C3A45" w:rsidP="003C3A45">
            <w:pPr>
              <w:spacing w:line="276" w:lineRule="auto"/>
              <w:rPr>
                <w:rFonts w:ascii="Times New Roman" w:hAnsi="Times New Roman" w:cs="Times New Roman"/>
                <w:sz w:val="20"/>
                <w:szCs w:val="20"/>
              </w:rPr>
            </w:pPr>
            <w:r w:rsidRPr="003C3A45">
              <w:rPr>
                <w:rFonts w:ascii="Times New Roman" w:hAnsi="Times New Roman" w:cs="Times New Roman"/>
                <w:b/>
                <w:sz w:val="20"/>
                <w:szCs w:val="20"/>
              </w:rPr>
              <w:t>Kriteri 2:</w:t>
            </w:r>
            <w:r w:rsidRPr="003C3A45">
              <w:rPr>
                <w:rFonts w:ascii="Times New Roman" w:hAnsi="Times New Roman" w:cs="Times New Roman"/>
                <w:sz w:val="20"/>
                <w:szCs w:val="20"/>
              </w:rPr>
              <w:t xml:space="preserve"> Studenti merr pjesë në aktivitete të ndryshme klinike të lidhura ngushtë me fushën specifike në të cilën ndjek studimet e specializimeve, të cilat e ndihmojnë të aftësohet për:</w:t>
            </w:r>
          </w:p>
          <w:p w:rsidR="003C3A45" w:rsidRPr="003C3A45" w:rsidRDefault="003C3A45" w:rsidP="003C3A45">
            <w:pPr>
              <w:spacing w:line="276" w:lineRule="auto"/>
              <w:rPr>
                <w:rFonts w:ascii="Times New Roman" w:hAnsi="Times New Roman" w:cs="Times New Roman"/>
                <w:sz w:val="20"/>
                <w:szCs w:val="20"/>
              </w:rPr>
            </w:pPr>
            <w:r w:rsidRPr="00BB79C3">
              <w:rPr>
                <w:rFonts w:ascii="Times New Roman" w:hAnsi="Times New Roman" w:cs="Times New Roman"/>
                <w:b/>
                <w:sz w:val="20"/>
                <w:szCs w:val="20"/>
              </w:rPr>
              <w:t>a.</w:t>
            </w:r>
            <w:r w:rsidRPr="003C3A45">
              <w:rPr>
                <w:rFonts w:ascii="Times New Roman" w:hAnsi="Times New Roman" w:cs="Times New Roman"/>
                <w:sz w:val="20"/>
                <w:szCs w:val="20"/>
              </w:rPr>
              <w:t xml:space="preserve"> Përvetësimin e metodologjive dhe njohurive klinike e kërkimore për veprimtari krijuese të pavarura si: artikuj shkencorë, prezantime, etj;</w:t>
            </w:r>
          </w:p>
          <w:p w:rsidR="003C3A45" w:rsidRPr="003C3A45" w:rsidRDefault="003C3A45" w:rsidP="00BB79C3">
            <w:pPr>
              <w:spacing w:line="276" w:lineRule="auto"/>
              <w:rPr>
                <w:rFonts w:ascii="Times New Roman" w:hAnsi="Times New Roman" w:cs="Times New Roman"/>
                <w:sz w:val="20"/>
                <w:szCs w:val="20"/>
              </w:rPr>
            </w:pPr>
            <w:r w:rsidRPr="00BB79C3">
              <w:rPr>
                <w:rFonts w:ascii="Times New Roman" w:hAnsi="Times New Roman" w:cs="Times New Roman"/>
                <w:b/>
                <w:sz w:val="20"/>
                <w:szCs w:val="20"/>
              </w:rPr>
              <w:t>b.</w:t>
            </w:r>
            <w:r w:rsidRPr="003C3A45">
              <w:rPr>
                <w:rFonts w:ascii="Times New Roman" w:hAnsi="Times New Roman" w:cs="Times New Roman"/>
                <w:sz w:val="20"/>
                <w:szCs w:val="20"/>
              </w:rPr>
              <w:t xml:space="preserve"> Punën e pavarur në laborator/klinikë;</w:t>
            </w:r>
          </w:p>
          <w:p w:rsidR="00BB79C3" w:rsidRDefault="003C3A45" w:rsidP="00BB79C3">
            <w:pPr>
              <w:spacing w:line="276" w:lineRule="auto"/>
              <w:rPr>
                <w:rFonts w:ascii="Times New Roman" w:hAnsi="Times New Roman" w:cs="Times New Roman"/>
                <w:sz w:val="20"/>
                <w:szCs w:val="20"/>
              </w:rPr>
            </w:pPr>
            <w:r w:rsidRPr="00BB79C3">
              <w:rPr>
                <w:rFonts w:ascii="Times New Roman" w:hAnsi="Times New Roman" w:cs="Times New Roman"/>
                <w:b/>
                <w:sz w:val="20"/>
                <w:szCs w:val="20"/>
              </w:rPr>
              <w:t>c.</w:t>
            </w:r>
            <w:r w:rsidRPr="003C3A45">
              <w:rPr>
                <w:rFonts w:ascii="Times New Roman" w:hAnsi="Times New Roman" w:cs="Times New Roman"/>
                <w:sz w:val="20"/>
                <w:szCs w:val="20"/>
              </w:rPr>
              <w:t xml:space="preserve"> Përdorimin e burimeve të informacionit (p.sh. bibliotekat dhe internetin, databazat me karakter shkencor/klinik) dhe</w:t>
            </w:r>
            <w:r w:rsidR="00BB79C3">
              <w:rPr>
                <w:rFonts w:ascii="Times New Roman" w:hAnsi="Times New Roman" w:cs="Times New Roman"/>
                <w:sz w:val="20"/>
                <w:szCs w:val="20"/>
              </w:rPr>
              <w:t xml:space="preserve"> administrimin e informacionit;</w:t>
            </w:r>
          </w:p>
          <w:p w:rsidR="003C3A45" w:rsidRPr="003C3A45" w:rsidRDefault="003C3A45" w:rsidP="00BB79C3">
            <w:pPr>
              <w:spacing w:line="276" w:lineRule="auto"/>
              <w:rPr>
                <w:rFonts w:ascii="Times New Roman" w:hAnsi="Times New Roman" w:cs="Times New Roman"/>
                <w:sz w:val="20"/>
                <w:szCs w:val="20"/>
              </w:rPr>
            </w:pPr>
            <w:r w:rsidRPr="00BB79C3">
              <w:rPr>
                <w:rFonts w:ascii="Times New Roman" w:hAnsi="Times New Roman" w:cs="Times New Roman"/>
                <w:b/>
                <w:sz w:val="20"/>
                <w:szCs w:val="20"/>
              </w:rPr>
              <w:t>d.</w:t>
            </w:r>
            <w:r w:rsidRPr="003C3A45">
              <w:rPr>
                <w:rFonts w:ascii="Times New Roman" w:hAnsi="Times New Roman" w:cs="Times New Roman"/>
                <w:sz w:val="20"/>
                <w:szCs w:val="20"/>
              </w:rPr>
              <w:t xml:space="preserve"> Përdorimin e teknologjive bashkëkohore për prezantime publike;</w:t>
            </w:r>
          </w:p>
          <w:p w:rsidR="00BB79C3" w:rsidRDefault="003C3A45" w:rsidP="00BB79C3">
            <w:pPr>
              <w:spacing w:line="276" w:lineRule="auto"/>
              <w:rPr>
                <w:rFonts w:ascii="Times New Roman" w:hAnsi="Times New Roman" w:cs="Times New Roman"/>
                <w:sz w:val="20"/>
                <w:szCs w:val="20"/>
              </w:rPr>
            </w:pPr>
            <w:r w:rsidRPr="00BB79C3">
              <w:rPr>
                <w:rFonts w:ascii="Times New Roman" w:hAnsi="Times New Roman" w:cs="Times New Roman"/>
                <w:b/>
                <w:sz w:val="20"/>
                <w:szCs w:val="20"/>
              </w:rPr>
              <w:t>e.</w:t>
            </w:r>
            <w:r w:rsidRPr="003C3A45">
              <w:rPr>
                <w:rFonts w:ascii="Times New Roman" w:hAnsi="Times New Roman" w:cs="Times New Roman"/>
                <w:sz w:val="20"/>
                <w:szCs w:val="20"/>
              </w:rPr>
              <w:t xml:space="preserve"> Përvetësimin e metodave të avancuara të analizë</w:t>
            </w:r>
            <w:r w:rsidR="00BB79C3">
              <w:rPr>
                <w:rFonts w:ascii="Times New Roman" w:hAnsi="Times New Roman" w:cs="Times New Roman"/>
                <w:sz w:val="20"/>
                <w:szCs w:val="20"/>
              </w:rPr>
              <w:t>s dhe përpunimit të të dhënave;</w:t>
            </w:r>
          </w:p>
          <w:p w:rsidR="00DB266E" w:rsidRPr="003C3A45" w:rsidRDefault="00BB79C3" w:rsidP="0019184F">
            <w:pPr>
              <w:spacing w:line="276" w:lineRule="auto"/>
              <w:rPr>
                <w:rFonts w:ascii="Times New Roman" w:hAnsi="Times New Roman" w:cs="Times New Roman"/>
                <w:sz w:val="20"/>
                <w:szCs w:val="20"/>
              </w:rPr>
            </w:pPr>
            <w:r w:rsidRPr="00BB79C3">
              <w:rPr>
                <w:rFonts w:ascii="Times New Roman" w:hAnsi="Times New Roman" w:cs="Times New Roman"/>
                <w:b/>
                <w:sz w:val="20"/>
                <w:szCs w:val="20"/>
              </w:rPr>
              <w:t>f.</w:t>
            </w:r>
            <w:r w:rsidRPr="003C3A45">
              <w:rPr>
                <w:rFonts w:ascii="Times New Roman" w:hAnsi="Times New Roman" w:cs="Times New Roman"/>
                <w:sz w:val="20"/>
                <w:szCs w:val="20"/>
              </w:rPr>
              <w:t xml:space="preserve"> Njohjen</w:t>
            </w:r>
            <w:r w:rsidR="003C3A45" w:rsidRPr="003C3A45">
              <w:rPr>
                <w:rFonts w:ascii="Times New Roman" w:hAnsi="Times New Roman" w:cs="Times New Roman"/>
                <w:sz w:val="20"/>
                <w:szCs w:val="20"/>
              </w:rPr>
              <w:t xml:space="preserve"> dhe përvetësimin e terminologjisë së specializuar lidhur me fu</w:t>
            </w:r>
            <w:r w:rsidR="0019184F">
              <w:rPr>
                <w:rFonts w:ascii="Times New Roman" w:hAnsi="Times New Roman" w:cs="Times New Roman"/>
                <w:sz w:val="20"/>
                <w:szCs w:val="20"/>
              </w:rPr>
              <w:t>shën klinike të specializantit.</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3C3A45" w:rsidRPr="003C3A45" w:rsidRDefault="003C3A45" w:rsidP="003C3A45">
            <w:pPr>
              <w:spacing w:line="276" w:lineRule="auto"/>
              <w:rPr>
                <w:rFonts w:ascii="Times New Roman" w:hAnsi="Times New Roman" w:cs="Times New Roman"/>
                <w:sz w:val="20"/>
                <w:szCs w:val="20"/>
              </w:rPr>
            </w:pPr>
            <w:r w:rsidRPr="00BB79C3">
              <w:rPr>
                <w:rFonts w:ascii="Times New Roman" w:hAnsi="Times New Roman" w:cs="Times New Roman"/>
                <w:b/>
                <w:sz w:val="20"/>
                <w:szCs w:val="20"/>
              </w:rPr>
              <w:t>Kriteri 3:</w:t>
            </w:r>
            <w:r w:rsidRPr="003C3A45">
              <w:rPr>
                <w:rFonts w:ascii="Times New Roman" w:hAnsi="Times New Roman" w:cs="Times New Roman"/>
                <w:sz w:val="20"/>
                <w:szCs w:val="20"/>
              </w:rPr>
              <w:t xml:space="preserve"> Studenti i programit specializues merr pjesë në aktivitetet e parashikuara të programit të studimit jashtë punës së tyre klinike.</w:t>
            </w:r>
          </w:p>
          <w:p w:rsidR="003C3A45" w:rsidRPr="003C3A45" w:rsidRDefault="003C3A45" w:rsidP="003C3A45">
            <w:pPr>
              <w:spacing w:line="276" w:lineRule="auto"/>
              <w:rPr>
                <w:rFonts w:ascii="Times New Roman" w:hAnsi="Times New Roman" w:cs="Times New Roman"/>
                <w:sz w:val="20"/>
                <w:szCs w:val="20"/>
              </w:rPr>
            </w:pPr>
            <w:r w:rsidRPr="003C3A45">
              <w:rPr>
                <w:rFonts w:ascii="Times New Roman" w:hAnsi="Times New Roman" w:cs="Times New Roman"/>
                <w:sz w:val="20"/>
                <w:szCs w:val="20"/>
              </w:rPr>
              <w:t>Specializanti është i lirë të marrë pjesë si dëgjues apo si referues në:</w:t>
            </w:r>
          </w:p>
          <w:p w:rsidR="003C3A45" w:rsidRPr="003C3A45" w:rsidRDefault="003C3A45" w:rsidP="003C3A45">
            <w:pPr>
              <w:spacing w:line="276" w:lineRule="auto"/>
              <w:ind w:left="720"/>
              <w:rPr>
                <w:rFonts w:ascii="Times New Roman" w:hAnsi="Times New Roman" w:cs="Times New Roman"/>
                <w:sz w:val="20"/>
                <w:szCs w:val="20"/>
              </w:rPr>
            </w:pPr>
            <w:r w:rsidRPr="00BB79C3">
              <w:rPr>
                <w:rFonts w:ascii="Times New Roman" w:hAnsi="Times New Roman" w:cs="Times New Roman"/>
                <w:b/>
                <w:sz w:val="20"/>
                <w:szCs w:val="20"/>
              </w:rPr>
              <w:t>a.</w:t>
            </w:r>
            <w:r w:rsidRPr="003C3A45">
              <w:rPr>
                <w:rFonts w:ascii="Times New Roman" w:hAnsi="Times New Roman" w:cs="Times New Roman"/>
                <w:sz w:val="20"/>
                <w:szCs w:val="20"/>
              </w:rPr>
              <w:t xml:space="preserve">    Ligjërata;</w:t>
            </w:r>
          </w:p>
          <w:p w:rsidR="003C3A45" w:rsidRPr="003C3A45" w:rsidRDefault="003C3A45" w:rsidP="003C3A45">
            <w:pPr>
              <w:spacing w:line="276" w:lineRule="auto"/>
              <w:ind w:left="720"/>
              <w:rPr>
                <w:rFonts w:ascii="Times New Roman" w:hAnsi="Times New Roman" w:cs="Times New Roman"/>
                <w:sz w:val="20"/>
                <w:szCs w:val="20"/>
              </w:rPr>
            </w:pPr>
            <w:r w:rsidRPr="00BB79C3">
              <w:rPr>
                <w:rFonts w:ascii="Times New Roman" w:hAnsi="Times New Roman" w:cs="Times New Roman"/>
                <w:b/>
                <w:sz w:val="20"/>
                <w:szCs w:val="20"/>
              </w:rPr>
              <w:t>b.</w:t>
            </w:r>
            <w:r w:rsidRPr="003C3A45">
              <w:rPr>
                <w:rFonts w:ascii="Times New Roman" w:hAnsi="Times New Roman" w:cs="Times New Roman"/>
                <w:sz w:val="20"/>
                <w:szCs w:val="20"/>
              </w:rPr>
              <w:t xml:space="preserve">    Seminare;</w:t>
            </w:r>
          </w:p>
          <w:p w:rsidR="003C3A45" w:rsidRPr="003C3A45" w:rsidRDefault="003C3A45" w:rsidP="003C3A45">
            <w:pPr>
              <w:spacing w:line="276" w:lineRule="auto"/>
              <w:ind w:left="720"/>
              <w:rPr>
                <w:rFonts w:ascii="Times New Roman" w:hAnsi="Times New Roman" w:cs="Times New Roman"/>
                <w:sz w:val="20"/>
                <w:szCs w:val="20"/>
              </w:rPr>
            </w:pPr>
            <w:r w:rsidRPr="00BB79C3">
              <w:rPr>
                <w:rFonts w:ascii="Times New Roman" w:hAnsi="Times New Roman" w:cs="Times New Roman"/>
                <w:b/>
                <w:sz w:val="20"/>
                <w:szCs w:val="20"/>
              </w:rPr>
              <w:t>c.</w:t>
            </w:r>
            <w:r w:rsidRPr="003C3A45">
              <w:rPr>
                <w:rFonts w:ascii="Times New Roman" w:hAnsi="Times New Roman" w:cs="Times New Roman"/>
                <w:sz w:val="20"/>
                <w:szCs w:val="20"/>
              </w:rPr>
              <w:t xml:space="preserve">     Debate ndërdisiplinore, të organizuara në kuadër të programit të studimit të specializimeve;</w:t>
            </w:r>
          </w:p>
          <w:p w:rsidR="003C3A45" w:rsidRPr="003C3A45" w:rsidRDefault="003C3A45" w:rsidP="003C3A45">
            <w:pPr>
              <w:spacing w:line="276" w:lineRule="auto"/>
              <w:ind w:left="720"/>
              <w:rPr>
                <w:rFonts w:ascii="Times New Roman" w:hAnsi="Times New Roman" w:cs="Times New Roman"/>
                <w:sz w:val="20"/>
                <w:szCs w:val="20"/>
              </w:rPr>
            </w:pPr>
            <w:r w:rsidRPr="00BB79C3">
              <w:rPr>
                <w:rFonts w:ascii="Times New Roman" w:hAnsi="Times New Roman" w:cs="Times New Roman"/>
                <w:b/>
                <w:sz w:val="20"/>
                <w:szCs w:val="20"/>
              </w:rPr>
              <w:t>d.</w:t>
            </w:r>
            <w:r w:rsidRPr="003C3A45">
              <w:rPr>
                <w:rFonts w:ascii="Times New Roman" w:hAnsi="Times New Roman" w:cs="Times New Roman"/>
                <w:sz w:val="20"/>
                <w:szCs w:val="20"/>
              </w:rPr>
              <w:t xml:space="preserve">    Mundësi të tjera të të mësuarit si: ndjekja e prezantimeve të konferencave dhe seminareve të ndryshme me karakter klinik.</w:t>
            </w:r>
          </w:p>
          <w:p w:rsidR="00DB266E" w:rsidRPr="003C3A45" w:rsidRDefault="003C3A45" w:rsidP="0019184F">
            <w:pPr>
              <w:spacing w:line="276" w:lineRule="auto"/>
              <w:rPr>
                <w:rFonts w:ascii="Times New Roman" w:hAnsi="Times New Roman" w:cs="Times New Roman"/>
                <w:sz w:val="20"/>
                <w:szCs w:val="20"/>
              </w:rPr>
            </w:pPr>
            <w:r w:rsidRPr="003C3A45">
              <w:rPr>
                <w:rFonts w:ascii="Times New Roman" w:hAnsi="Times New Roman" w:cs="Times New Roman"/>
                <w:sz w:val="20"/>
                <w:szCs w:val="20"/>
              </w:rPr>
              <w:t>Udhëheqësit i këshillojnë studentët të marrin pjesë në aktivitete dhe konferenca shkencore që i ndihmoj</w:t>
            </w:r>
            <w:r w:rsidR="0019184F">
              <w:rPr>
                <w:rFonts w:ascii="Times New Roman" w:hAnsi="Times New Roman" w:cs="Times New Roman"/>
                <w:sz w:val="20"/>
                <w:szCs w:val="20"/>
              </w:rPr>
              <w:t>në në punën e tyre dhe klinike.</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3C3A45" w:rsidRDefault="003C3A45" w:rsidP="0019184F">
            <w:pPr>
              <w:spacing w:line="276" w:lineRule="auto"/>
              <w:rPr>
                <w:rFonts w:ascii="Times New Roman" w:hAnsi="Times New Roman" w:cs="Times New Roman"/>
                <w:sz w:val="20"/>
                <w:szCs w:val="20"/>
              </w:rPr>
            </w:pPr>
            <w:r w:rsidRPr="00BB79C3">
              <w:rPr>
                <w:rFonts w:ascii="Times New Roman" w:hAnsi="Times New Roman" w:cs="Times New Roman"/>
                <w:b/>
                <w:sz w:val="20"/>
                <w:szCs w:val="20"/>
              </w:rPr>
              <w:t>Kriteri 4:</w:t>
            </w:r>
            <w:r w:rsidRPr="003C3A45">
              <w:rPr>
                <w:rFonts w:ascii="Times New Roman" w:hAnsi="Times New Roman" w:cs="Times New Roman"/>
                <w:sz w:val="20"/>
                <w:szCs w:val="20"/>
              </w:rPr>
              <w:t xml:space="preserve"> Studenti para diplomimit të tij, duhet të ketë botuar ose të pranuar të paktën një artikull kërkimor shkencor/eksperimental në një revistë shkencore brenda ose jashtë vendit, ku garantohet që niveli i ngjashmërisë artikullit të jetë nën 30%.  Po ashtu ai duhet të këtë marrë pjesë në jo më pak se 2 aktivitete shkencore kombëtare dhe/ose ndërkombëtare në fus</w:t>
            </w:r>
            <w:r w:rsidR="0019184F">
              <w:rPr>
                <w:rFonts w:ascii="Times New Roman" w:hAnsi="Times New Roman" w:cs="Times New Roman"/>
                <w:sz w:val="20"/>
                <w:szCs w:val="20"/>
              </w:rPr>
              <w:t>hën përkatëse të specializimit.</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485647" w:rsidRPr="003C3A45" w:rsidRDefault="003C3A45" w:rsidP="003C3A45">
            <w:pPr>
              <w:spacing w:line="276" w:lineRule="auto"/>
              <w:rPr>
                <w:rFonts w:ascii="Times New Roman" w:hAnsi="Times New Roman" w:cs="Times New Roman"/>
                <w:sz w:val="20"/>
                <w:szCs w:val="20"/>
              </w:rPr>
            </w:pPr>
            <w:r w:rsidRPr="00BB79C3">
              <w:rPr>
                <w:rFonts w:ascii="Times New Roman" w:hAnsi="Times New Roman" w:cs="Times New Roman"/>
                <w:b/>
                <w:sz w:val="20"/>
                <w:szCs w:val="20"/>
              </w:rPr>
              <w:t>Kriteri 5:</w:t>
            </w:r>
            <w:r w:rsidRPr="003C3A45">
              <w:rPr>
                <w:rFonts w:ascii="Times New Roman" w:hAnsi="Times New Roman" w:cs="Times New Roman"/>
                <w:sz w:val="20"/>
                <w:szCs w:val="20"/>
              </w:rPr>
              <w:t xml:space="preserve"> Studenti fiton aftësi</w:t>
            </w:r>
            <w:r w:rsidRPr="003C3A45">
              <w:rPr>
                <w:rFonts w:ascii="Times New Roman" w:hAnsi="Times New Roman" w:cs="Times New Roman"/>
                <w:sz w:val="20"/>
                <w:szCs w:val="20"/>
              </w:rPr>
              <w:footnoteReference w:id="1"/>
            </w:r>
            <w:r w:rsidRPr="003C3A45">
              <w:rPr>
                <w:rFonts w:ascii="Times New Roman" w:hAnsi="Times New Roman" w:cs="Times New Roman"/>
                <w:sz w:val="20"/>
                <w:szCs w:val="20"/>
              </w:rPr>
              <w:t xml:space="preserve"> për komunikimin e duhur me nive</w:t>
            </w:r>
            <w:r w:rsidR="0019184F">
              <w:rPr>
                <w:rFonts w:ascii="Times New Roman" w:hAnsi="Times New Roman" w:cs="Times New Roman"/>
                <w:sz w:val="20"/>
                <w:szCs w:val="20"/>
              </w:rPr>
              <w:t>l professional.</w:t>
            </w: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3C3A45" w:rsidRPr="00A962CD" w:rsidTr="00A962CD">
        <w:tc>
          <w:tcPr>
            <w:tcW w:w="3190" w:type="dxa"/>
          </w:tcPr>
          <w:p w:rsidR="003C3A45" w:rsidRPr="003C3A45" w:rsidRDefault="003C3A45" w:rsidP="003C3A45">
            <w:pPr>
              <w:spacing w:line="276" w:lineRule="auto"/>
              <w:rPr>
                <w:rFonts w:ascii="Times New Roman" w:hAnsi="Times New Roman" w:cs="Times New Roman"/>
                <w:sz w:val="20"/>
                <w:szCs w:val="20"/>
              </w:rPr>
            </w:pPr>
            <w:r w:rsidRPr="00BB79C3">
              <w:rPr>
                <w:rFonts w:ascii="Times New Roman" w:hAnsi="Times New Roman" w:cs="Times New Roman"/>
                <w:b/>
                <w:sz w:val="20"/>
                <w:szCs w:val="20"/>
              </w:rPr>
              <w:t>Kriteri 6:</w:t>
            </w:r>
            <w:r w:rsidRPr="003C3A45">
              <w:rPr>
                <w:rFonts w:ascii="Times New Roman" w:hAnsi="Times New Roman" w:cs="Times New Roman"/>
                <w:sz w:val="20"/>
                <w:szCs w:val="20"/>
              </w:rPr>
              <w:t xml:space="preserve"> Studenti ndjek rregullat e sjelljes etike dhe profesionale me pacientët dhe kolegët dhe fiton aftësi për </w:t>
            </w:r>
            <w:r w:rsidR="0019184F">
              <w:rPr>
                <w:rFonts w:ascii="Times New Roman" w:hAnsi="Times New Roman" w:cs="Times New Roman"/>
                <w:sz w:val="20"/>
                <w:szCs w:val="20"/>
              </w:rPr>
              <w:t>komunikim korrekt me të tjerët.</w:t>
            </w:r>
          </w:p>
        </w:tc>
        <w:tc>
          <w:tcPr>
            <w:tcW w:w="6530" w:type="dxa"/>
            <w:gridSpan w:val="4"/>
          </w:tcPr>
          <w:p w:rsidR="003C3A45" w:rsidRPr="00A962CD" w:rsidRDefault="003C3A45" w:rsidP="00243BA4">
            <w:pPr>
              <w:spacing w:line="276" w:lineRule="auto"/>
              <w:jc w:val="both"/>
              <w:rPr>
                <w:rFonts w:ascii="Times New Roman" w:hAnsi="Times New Roman" w:cs="Times New Roman"/>
                <w:b/>
              </w:rPr>
            </w:pPr>
          </w:p>
        </w:tc>
      </w:tr>
      <w:tr w:rsidR="00C1352C" w:rsidRPr="00A962CD" w:rsidTr="00B07698">
        <w:trPr>
          <w:trHeight w:val="315"/>
        </w:trPr>
        <w:tc>
          <w:tcPr>
            <w:tcW w:w="319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9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71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B07698">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9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C1352C" w:rsidRPr="00A962CD"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710"/>
        <w:gridCol w:w="1710"/>
        <w:gridCol w:w="1620"/>
      </w:tblGrid>
      <w:tr w:rsidR="00C1352C" w:rsidRPr="00A962CD" w:rsidTr="00B07698">
        <w:trPr>
          <w:trHeight w:val="315"/>
        </w:trPr>
        <w:tc>
          <w:tcPr>
            <w:tcW w:w="3240" w:type="dxa"/>
            <w:vMerge w:val="restart"/>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standardeve të fushës IV</w:t>
            </w:r>
          </w:p>
        </w:tc>
        <w:tc>
          <w:tcPr>
            <w:tcW w:w="144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71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71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62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B07698">
        <w:trPr>
          <w:trHeight w:val="315"/>
        </w:trPr>
        <w:tc>
          <w:tcPr>
            <w:tcW w:w="3240" w:type="dxa"/>
            <w:vMerge/>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B75C8F" w:rsidRDefault="00B75C8F" w:rsidP="00B75C8F">
      <w:pPr>
        <w:spacing w:line="276" w:lineRule="auto"/>
        <w:jc w:val="both"/>
        <w:rPr>
          <w:rFonts w:ascii="Times New Roman" w:hAnsi="Times New Roman" w:cs="Times New Roman"/>
          <w:b/>
          <w:sz w:val="28"/>
          <w:szCs w:val="28"/>
        </w:rPr>
      </w:pPr>
    </w:p>
    <w:p w:rsidR="00B75C8F" w:rsidRDefault="00B75C8F" w:rsidP="00B75C8F">
      <w:pPr>
        <w:spacing w:line="276" w:lineRule="auto"/>
        <w:jc w:val="both"/>
        <w:rPr>
          <w:rFonts w:ascii="Times New Roman" w:hAnsi="Times New Roman" w:cs="Times New Roman"/>
          <w:b/>
          <w:sz w:val="28"/>
          <w:szCs w:val="28"/>
        </w:rPr>
      </w:pPr>
    </w:p>
    <w:p w:rsidR="006B72EA" w:rsidRPr="00B75C8F" w:rsidRDefault="006B72EA"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EE7C67">
        <w:rPr>
          <w:rFonts w:ascii="Times New Roman" w:eastAsia="Times New Roman" w:hAnsi="Times New Roman" w:cs="Times New Roman"/>
          <w:b/>
          <w:sz w:val="24"/>
          <w:szCs w:val="24"/>
          <w:lang w:val="sq-AL"/>
        </w:rPr>
        <w:t xml:space="preserve">STUDENTËT </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Standardi V.1</w:t>
            </w:r>
          </w:p>
          <w:p w:rsidR="00C1352C" w:rsidRPr="00DD61EB" w:rsidRDefault="00EE7C67" w:rsidP="00243BA4">
            <w:pPr>
              <w:spacing w:line="276" w:lineRule="auto"/>
              <w:jc w:val="both"/>
              <w:rPr>
                <w:rFonts w:ascii="Times New Roman" w:eastAsia="Times New Roman" w:hAnsi="Times New Roman" w:cs="Times New Roman"/>
                <w:b/>
                <w:bCs/>
                <w:lang w:val="sq-AL"/>
              </w:rPr>
            </w:pPr>
            <w:r w:rsidRPr="00EE7C67">
              <w:rPr>
                <w:rFonts w:ascii="Times New Roman" w:eastAsia="Times New Roman" w:hAnsi="Times New Roman" w:cs="Times New Roman"/>
                <w:b/>
                <w:bCs/>
                <w:lang w:val="sq-AL"/>
              </w:rPr>
              <w:t>Studenti që ka përfunduar një program të integruar të studimeve në fushat e mjekësisë, farmacisë, stomatologjisë, plotëson standardet akademike të kritereve të pranimit të institucionit respektiv dhe gëzon të drejtën  për  t’u  regjistruar  në  programet  specializuese  afatgjata  në fushën e mjekësisë.</w:t>
            </w:r>
          </w:p>
        </w:tc>
      </w:tr>
      <w:tr w:rsidR="00C1352C" w:rsidRPr="00DD61EB" w:rsidTr="002D4635">
        <w:trPr>
          <w:trHeight w:val="404"/>
        </w:trPr>
        <w:tc>
          <w:tcPr>
            <w:tcW w:w="319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DD61EB" w:rsidRDefault="00C1352C" w:rsidP="005972BF">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2D4635">
        <w:tc>
          <w:tcPr>
            <w:tcW w:w="3190" w:type="dxa"/>
          </w:tcPr>
          <w:p w:rsidR="00460FC2" w:rsidRPr="00EE7C67" w:rsidRDefault="00EE7C67" w:rsidP="00B07698">
            <w:pPr>
              <w:spacing w:line="276" w:lineRule="auto"/>
              <w:rPr>
                <w:rFonts w:ascii="Times New Roman" w:hAnsi="Times New Roman" w:cs="Times New Roman"/>
                <w:sz w:val="20"/>
                <w:szCs w:val="20"/>
              </w:rPr>
            </w:pPr>
            <w:r w:rsidRPr="00EE7C67">
              <w:rPr>
                <w:rFonts w:ascii="Times New Roman" w:hAnsi="Times New Roman" w:cs="Times New Roman"/>
                <w:b/>
                <w:sz w:val="20"/>
                <w:szCs w:val="20"/>
              </w:rPr>
              <w:t>Kriteri 1:</w:t>
            </w:r>
            <w:r w:rsidRPr="00EE7C67">
              <w:rPr>
                <w:rFonts w:ascii="Times New Roman" w:hAnsi="Times New Roman" w:cs="Times New Roman"/>
                <w:sz w:val="20"/>
                <w:szCs w:val="20"/>
              </w:rPr>
              <w:t xml:space="preserve"> Aplikanti që kërkon të pranohet në programin e studimeve specializues i nënshtrohet provimit të pranimit në programin e studimit special</w:t>
            </w:r>
            <w:r w:rsidR="00B07698">
              <w:rPr>
                <w:rFonts w:ascii="Times New Roman" w:hAnsi="Times New Roman" w:cs="Times New Roman"/>
                <w:sz w:val="20"/>
                <w:szCs w:val="20"/>
              </w:rPr>
              <w:t>izues për të cilin ka aplikuar.</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EE7C67" w:rsidRDefault="00EE7C67" w:rsidP="00B07698">
            <w:pPr>
              <w:spacing w:line="276" w:lineRule="auto"/>
              <w:rPr>
                <w:rFonts w:ascii="Times New Roman" w:hAnsi="Times New Roman" w:cs="Times New Roman"/>
                <w:sz w:val="20"/>
                <w:szCs w:val="20"/>
              </w:rPr>
            </w:pPr>
            <w:r w:rsidRPr="00EE7C67">
              <w:rPr>
                <w:rFonts w:ascii="Times New Roman" w:hAnsi="Times New Roman" w:cs="Times New Roman"/>
                <w:b/>
                <w:sz w:val="20"/>
                <w:szCs w:val="20"/>
              </w:rPr>
              <w:t>Kriteri 2:</w:t>
            </w:r>
            <w:r w:rsidRPr="00EE7C67">
              <w:rPr>
                <w:rFonts w:ascii="Times New Roman" w:hAnsi="Times New Roman" w:cs="Times New Roman"/>
                <w:sz w:val="20"/>
                <w:szCs w:val="20"/>
              </w:rPr>
              <w:t xml:space="preserve"> Institucioni disponon një model teorik të informatizuar për përcaktimin e njohurive, kapacitetit, aftësive te aplikantëve në këndvështrime të ndryshme (ope</w:t>
            </w:r>
            <w:r w:rsidR="00B07698">
              <w:rPr>
                <w:rFonts w:ascii="Times New Roman" w:hAnsi="Times New Roman" w:cs="Times New Roman"/>
                <w:sz w:val="20"/>
                <w:szCs w:val="20"/>
              </w:rPr>
              <w:t>rativ, konjitiv e relacionues).</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EE7C67" w:rsidRDefault="00EE7C67" w:rsidP="00B07698">
            <w:pPr>
              <w:spacing w:line="276" w:lineRule="auto"/>
              <w:rPr>
                <w:rFonts w:ascii="Times New Roman" w:hAnsi="Times New Roman" w:cs="Times New Roman"/>
                <w:sz w:val="20"/>
                <w:szCs w:val="20"/>
              </w:rPr>
            </w:pPr>
            <w:r w:rsidRPr="00EE7C67">
              <w:rPr>
                <w:rFonts w:ascii="Times New Roman" w:hAnsi="Times New Roman" w:cs="Times New Roman"/>
                <w:b/>
                <w:sz w:val="20"/>
                <w:szCs w:val="20"/>
              </w:rPr>
              <w:t>Kriteri 3:</w:t>
            </w:r>
            <w:r w:rsidRPr="00EE7C67">
              <w:rPr>
                <w:rFonts w:ascii="Times New Roman" w:hAnsi="Times New Roman" w:cs="Times New Roman"/>
                <w:sz w:val="20"/>
                <w:szCs w:val="20"/>
              </w:rPr>
              <w:t xml:space="preserve"> Institucioni shpall paraprakisht programin e parashikuar për provimin e pranimit dhe instrumentat që përdor për përcaktimin e njohurive, kapacitetit, aftësive të aplikantëv</w:t>
            </w:r>
            <w:r w:rsidR="00B07698">
              <w:rPr>
                <w:rFonts w:ascii="Times New Roman" w:hAnsi="Times New Roman" w:cs="Times New Roman"/>
                <w:sz w:val="20"/>
                <w:szCs w:val="20"/>
              </w:rPr>
              <w:t>e në këndvështrime të ndryshme.</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EE7C67" w:rsidRDefault="00EE7C67" w:rsidP="00B07698">
            <w:pPr>
              <w:spacing w:line="276" w:lineRule="auto"/>
              <w:rPr>
                <w:rFonts w:ascii="Times New Roman" w:hAnsi="Times New Roman" w:cs="Times New Roman"/>
                <w:sz w:val="20"/>
                <w:szCs w:val="20"/>
              </w:rPr>
            </w:pPr>
            <w:r w:rsidRPr="00EE7C67">
              <w:rPr>
                <w:rFonts w:ascii="Times New Roman" w:hAnsi="Times New Roman" w:cs="Times New Roman"/>
                <w:b/>
                <w:sz w:val="20"/>
                <w:szCs w:val="20"/>
              </w:rPr>
              <w:t>Kriteri 4:</w:t>
            </w:r>
            <w:r w:rsidRPr="00EE7C67">
              <w:rPr>
                <w:rFonts w:ascii="Times New Roman" w:hAnsi="Times New Roman" w:cs="Times New Roman"/>
                <w:sz w:val="20"/>
                <w:szCs w:val="20"/>
              </w:rPr>
              <w:t xml:space="preserve"> Institucioni vlerëson në mënyrë të vazhdueshme politikat e pranimit dhe ndikimin e tyre në përparimin e mëtejshëm të stud</w:t>
            </w:r>
            <w:r w:rsidR="00B07698">
              <w:rPr>
                <w:rFonts w:ascii="Times New Roman" w:hAnsi="Times New Roman" w:cs="Times New Roman"/>
                <w:sz w:val="20"/>
                <w:szCs w:val="20"/>
              </w:rPr>
              <w:t>entëve në programin e studimit.</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C1352C" w:rsidRPr="00DD61EB" w:rsidTr="002D4635">
        <w:trPr>
          <w:trHeight w:val="315"/>
        </w:trPr>
        <w:tc>
          <w:tcPr>
            <w:tcW w:w="319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9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3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6"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64"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B07698" w:rsidRDefault="00460FC2" w:rsidP="00B07698">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hAnsi="Times New Roman" w:cs="Times New Roman"/>
                <w:b/>
                <w:lang w:val="sq-AL"/>
              </w:rPr>
            </w:pPr>
            <w:r w:rsidRPr="00DD61EB">
              <w:rPr>
                <w:rFonts w:ascii="Times New Roman" w:hAnsi="Times New Roman" w:cs="Times New Roman"/>
                <w:b/>
                <w:lang w:val="sq-AL"/>
              </w:rPr>
              <w:t xml:space="preserve">Standardi V.2  </w:t>
            </w:r>
          </w:p>
          <w:p w:rsidR="00C1352C" w:rsidRPr="00DD61EB" w:rsidRDefault="00EE7C67" w:rsidP="00243BA4">
            <w:pPr>
              <w:spacing w:line="276" w:lineRule="auto"/>
              <w:jc w:val="both"/>
              <w:rPr>
                <w:rFonts w:ascii="Times New Roman" w:hAnsi="Times New Roman" w:cs="Times New Roman"/>
                <w:b/>
              </w:rPr>
            </w:pPr>
            <w:r w:rsidRPr="00EE7C67">
              <w:rPr>
                <w:rFonts w:ascii="Times New Roman" w:eastAsia="Times New Roman" w:hAnsi="Times New Roman" w:cs="Times New Roman"/>
                <w:b/>
                <w:bCs/>
                <w:lang w:val="sq-AL"/>
              </w:rPr>
              <w:t>Institucioni disponon statistika në lidhje me numrin dhe të dhënat e studentëve që ndjekin programet e studimit specializuese afatgjata.</w:t>
            </w:r>
          </w:p>
        </w:tc>
      </w:tr>
      <w:tr w:rsidR="00C1352C" w:rsidRPr="00DD61EB" w:rsidTr="00E37368">
        <w:trPr>
          <w:trHeight w:val="377"/>
        </w:trPr>
        <w:tc>
          <w:tcPr>
            <w:tcW w:w="3199"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21" w:type="dxa"/>
            <w:gridSpan w:val="4"/>
            <w:shd w:val="clear" w:color="auto" w:fill="C5E0B3" w:themeFill="accent6" w:themeFillTint="66"/>
          </w:tcPr>
          <w:p w:rsidR="00C1352C" w:rsidRPr="00DD61EB" w:rsidRDefault="00C1352C" w:rsidP="005972BF">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B9204D">
        <w:tc>
          <w:tcPr>
            <w:tcW w:w="3199" w:type="dxa"/>
          </w:tcPr>
          <w:p w:rsidR="00460FC2" w:rsidRPr="00EE7C67" w:rsidRDefault="00EE7C67" w:rsidP="00B07698">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1:</w:t>
            </w:r>
            <w:r w:rsidRPr="00EE7C67">
              <w:rPr>
                <w:rFonts w:ascii="Times New Roman" w:hAnsi="Times New Roman" w:cs="Times New Roman"/>
                <w:sz w:val="20"/>
                <w:szCs w:val="20"/>
              </w:rPr>
              <w:t xml:space="preserve"> Institucioni ka një pasqyrë të përvitshme për numrin e të diplomuarve, në programet specializuese afatgjata, tërheqjet nga programi, si dhe largimet para përfundimit të programit apo mospërfundim</w:t>
            </w:r>
            <w:r w:rsidR="00B07698">
              <w:rPr>
                <w:rFonts w:ascii="Times New Roman" w:hAnsi="Times New Roman" w:cs="Times New Roman"/>
                <w:sz w:val="20"/>
                <w:szCs w:val="20"/>
              </w:rPr>
              <w:t>in me sukses të vitit akademik.</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EE7C67" w:rsidRDefault="00EE7C67" w:rsidP="00B07698">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2:</w:t>
            </w:r>
            <w:r w:rsidRPr="00EE7C67">
              <w:rPr>
                <w:rFonts w:ascii="Times New Roman" w:hAnsi="Times New Roman" w:cs="Times New Roman"/>
                <w:sz w:val="20"/>
                <w:szCs w:val="20"/>
              </w:rPr>
              <w:t xml:space="preserve"> Institucioni zotëron të dhëna individuale për ecurinë akademike të studentëve që nga pranimi (notat e mëparshme p.sh.  </w:t>
            </w:r>
            <w:r w:rsidR="00A33C75">
              <w:rPr>
                <w:rFonts w:ascii="Times New Roman" w:hAnsi="Times New Roman" w:cs="Times New Roman"/>
                <w:sz w:val="20"/>
                <w:szCs w:val="20"/>
              </w:rPr>
              <w:t>v</w:t>
            </w:r>
            <w:r w:rsidRPr="00EE7C67">
              <w:rPr>
                <w:rFonts w:ascii="Times New Roman" w:hAnsi="Times New Roman" w:cs="Times New Roman"/>
                <w:sz w:val="20"/>
                <w:szCs w:val="20"/>
              </w:rPr>
              <w:t xml:space="preserve">lerësimin e studentëve në programin </w:t>
            </w:r>
            <w:r w:rsidR="00B07698">
              <w:rPr>
                <w:rFonts w:ascii="Times New Roman" w:hAnsi="Times New Roman" w:cs="Times New Roman"/>
                <w:sz w:val="20"/>
                <w:szCs w:val="20"/>
              </w:rPr>
              <w:t>e mëparshëm të studimit, etj.).</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C1352C" w:rsidRPr="00DD61EB" w:rsidTr="00C626EA">
        <w:trPr>
          <w:trHeight w:val="315"/>
        </w:trPr>
        <w:tc>
          <w:tcPr>
            <w:tcW w:w="3199"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81"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19"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2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80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E37368" w:rsidRDefault="006B72EA" w:rsidP="00E37368">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lang w:val="sq-AL"/>
              </w:rPr>
              <w:t>Standardi V.3</w:t>
            </w:r>
          </w:p>
          <w:p w:rsidR="00C1352C" w:rsidRPr="00DD61EB" w:rsidRDefault="00A33C75" w:rsidP="00243BA4">
            <w:pPr>
              <w:spacing w:line="276" w:lineRule="auto"/>
              <w:jc w:val="both"/>
              <w:rPr>
                <w:rFonts w:ascii="Times New Roman" w:hAnsi="Times New Roman" w:cs="Times New Roman"/>
                <w:b/>
              </w:rPr>
            </w:pPr>
            <w:r w:rsidRPr="00A33C75">
              <w:rPr>
                <w:rFonts w:ascii="Times New Roman" w:eastAsia="Times New Roman" w:hAnsi="Times New Roman" w:cs="Times New Roman"/>
                <w:b/>
                <w:bCs/>
                <w:lang w:val="sq-AL"/>
              </w:rPr>
              <w:t>Institucioni informon studentët në mënyrë të vazhdueshme dhe të detajuar, në lidhje me programet e studimeve.</w:t>
            </w:r>
          </w:p>
        </w:tc>
      </w:tr>
      <w:tr w:rsidR="00C1352C" w:rsidRPr="00DD61EB" w:rsidTr="00C626EA">
        <w:trPr>
          <w:trHeight w:val="395"/>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5972BF">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C626EA">
        <w:tc>
          <w:tcPr>
            <w:tcW w:w="315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1:</w:t>
            </w:r>
            <w:r w:rsidRPr="00A33C75">
              <w:rPr>
                <w:rFonts w:ascii="Times New Roman" w:hAnsi="Times New Roman" w:cs="Times New Roman"/>
                <w:sz w:val="20"/>
                <w:szCs w:val="20"/>
              </w:rPr>
              <w:t xml:space="preserve"> Studenti informohet në mënyrë të detajuar për programin e studimit, afatin e përfundim</w:t>
            </w:r>
            <w:r w:rsidR="00CB1EE2">
              <w:rPr>
                <w:rFonts w:ascii="Times New Roman" w:hAnsi="Times New Roman" w:cs="Times New Roman"/>
                <w:sz w:val="20"/>
                <w:szCs w:val="20"/>
              </w:rPr>
              <w:t>it dhe organizimin e programit.</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A33C75" w:rsidRPr="00CB1EE2" w:rsidRDefault="00A33C75" w:rsidP="00A33C75">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2:</w:t>
            </w:r>
            <w:r w:rsidRPr="00A33C75">
              <w:rPr>
                <w:rFonts w:ascii="Times New Roman" w:hAnsi="Times New Roman" w:cs="Times New Roman"/>
                <w:sz w:val="20"/>
                <w:szCs w:val="20"/>
              </w:rPr>
              <w:t xml:space="preserve"> Studenti informohet nga njësia përgjegjës</w:t>
            </w:r>
            <w:r w:rsidR="00CB1EE2">
              <w:rPr>
                <w:rFonts w:ascii="Times New Roman" w:hAnsi="Times New Roman" w:cs="Times New Roman"/>
                <w:sz w:val="20"/>
                <w:szCs w:val="20"/>
              </w:rPr>
              <w:t xml:space="preserve">e për rezultatet e vlerësimit. </w:t>
            </w: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C1352C" w:rsidRPr="00DD61EB" w:rsidTr="00C626EA">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57"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42"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CB1EE2" w:rsidRDefault="002D4635" w:rsidP="00CB1EE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 xml:space="preserve">Standardi V.4  </w:t>
            </w:r>
          </w:p>
          <w:p w:rsidR="00C1352C" w:rsidRPr="00DD61EB" w:rsidRDefault="00A33C75" w:rsidP="00243BA4">
            <w:pPr>
              <w:jc w:val="both"/>
              <w:rPr>
                <w:rFonts w:ascii="Times New Roman" w:hAnsi="Times New Roman" w:cs="Times New Roman"/>
                <w:b/>
                <w:lang w:val="sq-AL"/>
              </w:rPr>
            </w:pPr>
            <w:r w:rsidRPr="00A33C75">
              <w:rPr>
                <w:rFonts w:ascii="Times New Roman" w:eastAsia="Times New Roman" w:hAnsi="Times New Roman" w:cs="Times New Roman"/>
                <w:b/>
                <w:bCs/>
                <w:lang w:val="sq-AL"/>
              </w:rPr>
              <w:t>Studenti ka të gjitha kushtet e nevojshme për të realizuar programin e studimit.</w:t>
            </w:r>
          </w:p>
        </w:tc>
      </w:tr>
      <w:tr w:rsidR="00C1352C" w:rsidRPr="00DD61EB" w:rsidTr="00C626EA">
        <w:trPr>
          <w:trHeight w:val="386"/>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5972BF">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C626EA">
        <w:tc>
          <w:tcPr>
            <w:tcW w:w="315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1:</w:t>
            </w:r>
            <w:r w:rsidRPr="00A33C75">
              <w:rPr>
                <w:rFonts w:ascii="Times New Roman" w:hAnsi="Times New Roman" w:cs="Times New Roman"/>
                <w:sz w:val="20"/>
                <w:szCs w:val="20"/>
              </w:rPr>
              <w:t xml:space="preserve"> Studenti i pranuar në programin e studimeve specializuese afatgjata ka kushtet e nevojshme për të realizuar programin e studimit me karakter akademik e klinik.</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2:</w:t>
            </w:r>
            <w:r w:rsidRPr="00A33C75">
              <w:rPr>
                <w:rFonts w:ascii="Times New Roman" w:hAnsi="Times New Roman" w:cs="Times New Roman"/>
                <w:sz w:val="20"/>
                <w:szCs w:val="20"/>
              </w:rPr>
              <w:t xml:space="preserve"> Programi i studimeve specializuese afatgjata siguron harmonizim të synimeve të studentit në fushën klinike/diagnostike dhe kërkimore-shkencore dhe, në përfundim të tij, edhe të mundësisë për kar</w:t>
            </w:r>
            <w:r w:rsidR="00CB1EE2">
              <w:rPr>
                <w:rFonts w:ascii="Times New Roman" w:hAnsi="Times New Roman" w:cs="Times New Roman"/>
                <w:sz w:val="20"/>
                <w:szCs w:val="20"/>
              </w:rPr>
              <w:t>rierë profesionale ose punësim.</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3:</w:t>
            </w:r>
            <w:r w:rsidRPr="00A33C75">
              <w:rPr>
                <w:rFonts w:ascii="Times New Roman" w:hAnsi="Times New Roman" w:cs="Times New Roman"/>
                <w:sz w:val="20"/>
                <w:szCs w:val="20"/>
              </w:rPr>
              <w:t xml:space="preserve"> Studenti që ndjek programet specializuese afatgjata të studimit ka në dispozicion bibliotekë shkencore të pasur me botime në letër dhe në formë elektronike si dhe in</w:t>
            </w:r>
            <w:r w:rsidR="00CB1EE2">
              <w:rPr>
                <w:rFonts w:ascii="Times New Roman" w:hAnsi="Times New Roman" w:cs="Times New Roman"/>
                <w:sz w:val="20"/>
                <w:szCs w:val="20"/>
              </w:rPr>
              <w:t>frastrukturë të plotë të IT-së.</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4:</w:t>
            </w:r>
            <w:r w:rsidRPr="00A33C75">
              <w:rPr>
                <w:rFonts w:ascii="Times New Roman" w:hAnsi="Times New Roman" w:cs="Times New Roman"/>
                <w:sz w:val="20"/>
                <w:szCs w:val="20"/>
              </w:rPr>
              <w:t xml:space="preserve"> Studenti ka mbështetje teknike të mjaftueshme për zhvillimin e aktivitetit klini</w:t>
            </w:r>
            <w:r w:rsidR="00CB1EE2">
              <w:rPr>
                <w:rFonts w:ascii="Times New Roman" w:hAnsi="Times New Roman" w:cs="Times New Roman"/>
                <w:sz w:val="20"/>
                <w:szCs w:val="20"/>
              </w:rPr>
              <w:t>k dhe kërkimor të lidhur me të.</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5:</w:t>
            </w:r>
            <w:r w:rsidRPr="00A33C75">
              <w:rPr>
                <w:rFonts w:ascii="Times New Roman" w:hAnsi="Times New Roman" w:cs="Times New Roman"/>
                <w:sz w:val="20"/>
                <w:szCs w:val="20"/>
              </w:rPr>
              <w:t xml:space="preserve"> Hulumtimet që kanë të përfshira kërkime laboratorike mbështeten me ba</w:t>
            </w:r>
            <w:r w:rsidR="00CB1EE2">
              <w:rPr>
                <w:rFonts w:ascii="Times New Roman" w:hAnsi="Times New Roman" w:cs="Times New Roman"/>
                <w:sz w:val="20"/>
                <w:szCs w:val="20"/>
              </w:rPr>
              <w:t>zë laboratorike të mjaftueshme.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A33C75" w:rsidRPr="00A33C75" w:rsidRDefault="00A33C75" w:rsidP="00A33C75">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6:</w:t>
            </w:r>
            <w:r w:rsidRPr="00A33C75">
              <w:rPr>
                <w:rFonts w:ascii="Times New Roman" w:hAnsi="Times New Roman" w:cs="Times New Roman"/>
                <w:sz w:val="20"/>
                <w:szCs w:val="20"/>
              </w:rPr>
              <w:t xml:space="preserve"> Studenti është i siguruar gjatë gjithë periudhës së specializimit dhe për të gjitha   aktivitetet   e   parashikuara   në   programin   specializues.   Për   këtë disponohet dokumentacion i mjaftueshëm nga institucioni.  Një kopje e policës së sigurimit i dorëzohet studenti</w:t>
            </w:r>
            <w:r w:rsidR="00CB1EE2">
              <w:rPr>
                <w:rFonts w:ascii="Times New Roman" w:hAnsi="Times New Roman" w:cs="Times New Roman"/>
                <w:sz w:val="20"/>
                <w:szCs w:val="20"/>
              </w:rPr>
              <w:t>t në momentin e lidhjes së saj.</w:t>
            </w: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A33C75" w:rsidRPr="00DD61EB" w:rsidTr="00C626EA">
        <w:tc>
          <w:tcPr>
            <w:tcW w:w="3150" w:type="dxa"/>
          </w:tcPr>
          <w:p w:rsidR="00A33C75" w:rsidRPr="00A33C75" w:rsidRDefault="00A33C75" w:rsidP="00A33C75">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7:</w:t>
            </w:r>
            <w:r w:rsidRPr="00A33C75">
              <w:rPr>
                <w:rFonts w:ascii="Times New Roman" w:hAnsi="Times New Roman" w:cs="Times New Roman"/>
                <w:sz w:val="20"/>
                <w:szCs w:val="20"/>
              </w:rPr>
              <w:t xml:space="preserve"> Institucioni mban një bazë të dhënash të studentëve të p</w:t>
            </w:r>
            <w:r w:rsidR="00CB1EE2">
              <w:rPr>
                <w:rFonts w:ascii="Times New Roman" w:hAnsi="Times New Roman" w:cs="Times New Roman"/>
                <w:sz w:val="20"/>
                <w:szCs w:val="20"/>
              </w:rPr>
              <w:t>unësuar dhe vendet e punësimit.</w:t>
            </w: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C1352C" w:rsidRPr="00DD61EB" w:rsidTr="00542147">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0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2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CB1EE2" w:rsidRDefault="00232138" w:rsidP="00CB1EE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Standardi V.5  </w:t>
            </w:r>
          </w:p>
          <w:p w:rsidR="00C1352C" w:rsidRPr="00DD61EB" w:rsidRDefault="00A33C75" w:rsidP="00232138">
            <w:pPr>
              <w:jc w:val="both"/>
              <w:rPr>
                <w:rFonts w:ascii="Times New Roman" w:eastAsia="Times New Roman" w:hAnsi="Times New Roman" w:cs="Times New Roman"/>
                <w:b/>
                <w:bCs/>
                <w:lang w:val="sq-AL"/>
              </w:rPr>
            </w:pPr>
            <w:r w:rsidRPr="00A33C75">
              <w:rPr>
                <w:rFonts w:ascii="Times New Roman" w:eastAsia="Times New Roman" w:hAnsi="Times New Roman" w:cs="Times New Roman"/>
                <w:b/>
                <w:bCs/>
                <w:lang w:val="sq-AL"/>
              </w:rPr>
              <w:t>Institucioni ndjek procedura të qarta për vlerësimin e njohurive të studentëve.</w:t>
            </w:r>
          </w:p>
        </w:tc>
      </w:tr>
      <w:tr w:rsidR="00C1352C" w:rsidRPr="00DD61EB" w:rsidTr="00A03B42">
        <w:trPr>
          <w:trHeight w:val="386"/>
        </w:trPr>
        <w:tc>
          <w:tcPr>
            <w:tcW w:w="316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60" w:type="dxa"/>
            <w:gridSpan w:val="4"/>
            <w:shd w:val="clear" w:color="auto" w:fill="C5E0B3" w:themeFill="accent6" w:themeFillTint="66"/>
          </w:tcPr>
          <w:p w:rsidR="00C1352C" w:rsidRPr="00DD61EB" w:rsidRDefault="00C1352C" w:rsidP="005972BF">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A03B42">
        <w:tc>
          <w:tcPr>
            <w:tcW w:w="316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1:</w:t>
            </w:r>
            <w:r w:rsidRPr="00A33C75">
              <w:rPr>
                <w:rFonts w:ascii="Times New Roman" w:hAnsi="Times New Roman" w:cs="Times New Roman"/>
                <w:sz w:val="20"/>
                <w:szCs w:val="20"/>
              </w:rPr>
              <w:t xml:space="preserve"> Institucioni ndjek procedura të qarta dhe transparente për vlerësimin në vazhdimësi të dijeve të studentit, të përcaktuara dhe të bëra të ditura që në fillim të programit të studimeve në rregullore</w:t>
            </w:r>
            <w:r w:rsidR="00CB1EE2">
              <w:rPr>
                <w:rFonts w:ascii="Times New Roman" w:hAnsi="Times New Roman" w:cs="Times New Roman"/>
                <w:sz w:val="20"/>
                <w:szCs w:val="20"/>
              </w:rPr>
              <w:t>n e specializimit.</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2:</w:t>
            </w:r>
            <w:r w:rsidRPr="00A33C75">
              <w:rPr>
                <w:rFonts w:ascii="Times New Roman" w:hAnsi="Times New Roman" w:cs="Times New Roman"/>
                <w:sz w:val="20"/>
                <w:szCs w:val="20"/>
              </w:rPr>
              <w:t xml:space="preserve"> Institucioni   disponon   një   sistem   të   informatizuar   për   kontrollin   dhe vlerësimin e njohurive të marra nga student</w:t>
            </w:r>
            <w:r w:rsidR="00CB1EE2">
              <w:rPr>
                <w:rFonts w:ascii="Times New Roman" w:hAnsi="Times New Roman" w:cs="Times New Roman"/>
                <w:sz w:val="20"/>
                <w:szCs w:val="20"/>
              </w:rPr>
              <w:t>ët gjatë programit të studimit.</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3:</w:t>
            </w:r>
            <w:r w:rsidRPr="00A33C75">
              <w:rPr>
                <w:rFonts w:ascii="Times New Roman" w:hAnsi="Times New Roman" w:cs="Times New Roman"/>
                <w:sz w:val="20"/>
                <w:szCs w:val="20"/>
              </w:rPr>
              <w:t xml:space="preserve"> Konkluzionet e vlerësimit në vazhdimësi, janë të qarta dhe transparente, përfshirë pezullimin, zgjatjen ose përjashti</w:t>
            </w:r>
            <w:r w:rsidR="00CB1EE2">
              <w:rPr>
                <w:rFonts w:ascii="Times New Roman" w:hAnsi="Times New Roman" w:cs="Times New Roman"/>
                <w:sz w:val="20"/>
                <w:szCs w:val="20"/>
              </w:rPr>
              <w:t>min nga studimet specializuese.</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A33C75" w:rsidRDefault="00A33C75" w:rsidP="00CB1EE2">
            <w:pPr>
              <w:spacing w:line="276" w:lineRule="auto"/>
              <w:rPr>
                <w:rFonts w:ascii="Times New Roman" w:hAnsi="Times New Roman" w:cs="Times New Roman"/>
                <w:sz w:val="20"/>
                <w:szCs w:val="20"/>
              </w:rPr>
            </w:pPr>
            <w:r w:rsidRPr="00A33C75">
              <w:rPr>
                <w:rFonts w:ascii="Times New Roman" w:hAnsi="Times New Roman" w:cs="Times New Roman"/>
                <w:b/>
                <w:sz w:val="20"/>
                <w:szCs w:val="20"/>
              </w:rPr>
              <w:t>Kriteri 4:</w:t>
            </w:r>
            <w:r w:rsidRPr="00A33C75">
              <w:rPr>
                <w:rFonts w:ascii="Times New Roman" w:hAnsi="Times New Roman" w:cs="Times New Roman"/>
                <w:sz w:val="20"/>
                <w:szCs w:val="20"/>
              </w:rPr>
              <w:t xml:space="preserve"> Vlerësimi   i   studentëve   bëhet   sipas   lëndëve që   ka   ndjekur speciali</w:t>
            </w:r>
            <w:r w:rsidR="00CB1EE2">
              <w:rPr>
                <w:rFonts w:ascii="Times New Roman" w:hAnsi="Times New Roman" w:cs="Times New Roman"/>
                <w:sz w:val="20"/>
                <w:szCs w:val="20"/>
              </w:rPr>
              <w:t>zanti gjatë atij viti akademik.</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C1352C" w:rsidRPr="00DD61EB" w:rsidTr="00542147">
        <w:trPr>
          <w:trHeight w:val="315"/>
        </w:trPr>
        <w:tc>
          <w:tcPr>
            <w:tcW w:w="316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2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C1352C" w:rsidRPr="00DD61EB" w:rsidTr="006B72EA">
        <w:trPr>
          <w:trHeight w:val="315"/>
        </w:trPr>
        <w:tc>
          <w:tcPr>
            <w:tcW w:w="3150" w:type="dxa"/>
            <w:vMerge w:val="restart"/>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standardeve të fushës V</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6B72EA">
        <w:trPr>
          <w:trHeight w:val="315"/>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CB1EE2" w:rsidRDefault="00CB1EE2" w:rsidP="00C1352C">
      <w:pPr>
        <w:rPr>
          <w:rFonts w:ascii="Times New Roman" w:hAnsi="Times New Roman" w:cs="Times New Roman"/>
          <w:b/>
          <w:sz w:val="28"/>
          <w:szCs w:val="28"/>
        </w:rPr>
      </w:pPr>
    </w:p>
    <w:p w:rsidR="00C1352C" w:rsidRPr="002C0F5B" w:rsidRDefault="002C0F5B" w:rsidP="002C0F5B">
      <w:pPr>
        <w:ind w:left="90"/>
        <w:jc w:val="both"/>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t xml:space="preserve">VI. </w:t>
      </w:r>
      <w:r w:rsidR="009422E2" w:rsidRPr="009422E2">
        <w:rPr>
          <w:rFonts w:ascii="Times New Roman" w:eastAsia="?????? Pro W3" w:hAnsi="Times New Roman" w:cs="Times New Roman"/>
          <w:b/>
          <w:bCs/>
          <w:sz w:val="24"/>
          <w:szCs w:val="24"/>
          <w:lang w:val="sq-AL"/>
        </w:rPr>
        <w:t>SIGURIMI I CILËSISË NË PROGRAMIN E SPECIALIZIMIT AFATGJATË</w:t>
      </w:r>
    </w:p>
    <w:tbl>
      <w:tblPr>
        <w:tblStyle w:val="TableGrid"/>
        <w:tblW w:w="9720" w:type="dxa"/>
        <w:tblInd w:w="-185" w:type="dxa"/>
        <w:tblLook w:val="04A0" w:firstRow="1" w:lastRow="0" w:firstColumn="1" w:lastColumn="0" w:noHBand="0" w:noVBand="1"/>
      </w:tblPr>
      <w:tblGrid>
        <w:gridCol w:w="3106"/>
        <w:gridCol w:w="1574"/>
        <w:gridCol w:w="1620"/>
        <w:gridCol w:w="1662"/>
        <w:gridCol w:w="1758"/>
      </w:tblGrid>
      <w:tr w:rsidR="00C1352C" w:rsidRPr="00A8276A" w:rsidTr="009E4EA0">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eastAsia="Times New Roman" w:hAnsi="Times New Roman" w:cs="Times New Roman"/>
                <w:b/>
                <w:lang w:val="sq-AL"/>
              </w:rPr>
            </w:pPr>
            <w:r w:rsidRPr="00A8276A">
              <w:rPr>
                <w:rFonts w:ascii="Times New Roman" w:eastAsia="Times New Roman" w:hAnsi="Times New Roman" w:cs="Times New Roman"/>
                <w:b/>
                <w:lang w:val="sq-AL"/>
              </w:rPr>
              <w:t>Standardi VI.1</w:t>
            </w:r>
          </w:p>
          <w:p w:rsidR="00C1352C" w:rsidRPr="00A8276A" w:rsidRDefault="00B82C07" w:rsidP="00243BA4">
            <w:pPr>
              <w:spacing w:line="276" w:lineRule="auto"/>
              <w:jc w:val="both"/>
              <w:rPr>
                <w:rFonts w:ascii="Times New Roman" w:eastAsia="Times New Roman" w:hAnsi="Times New Roman" w:cs="Times New Roman"/>
                <w:b/>
                <w:bCs/>
                <w:lang w:val="sq-AL"/>
              </w:rPr>
            </w:pPr>
            <w:r w:rsidRPr="00B82C07">
              <w:rPr>
                <w:rFonts w:ascii="Times New Roman" w:eastAsia="Times New Roman" w:hAnsi="Times New Roman" w:cs="Times New Roman"/>
                <w:b/>
                <w:bCs/>
                <w:lang w:val="sq-AL"/>
              </w:rPr>
              <w:t>Institucioni dhe njësia përgjegjëse lartë harton dhe zbaton politika e procedura transparente të posaçme për sigurimin e cilësisë së programit të specializimit afatgjatë, në kuadër të strukturave e sistemit të brendshëm të sigurimit të cilësisë</w:t>
            </w:r>
            <w:r>
              <w:rPr>
                <w:rFonts w:ascii="Times New Roman" w:eastAsia="Times New Roman" w:hAnsi="Times New Roman" w:cs="Times New Roman"/>
                <w:b/>
                <w:bCs/>
                <w:lang w:val="sq-AL"/>
              </w:rPr>
              <w:t>.</w:t>
            </w:r>
          </w:p>
        </w:tc>
      </w:tr>
      <w:tr w:rsidR="00C1352C" w:rsidRPr="00A8276A" w:rsidTr="00A8276A">
        <w:trPr>
          <w:trHeight w:val="368"/>
        </w:trPr>
        <w:tc>
          <w:tcPr>
            <w:tcW w:w="3106"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14" w:type="dxa"/>
            <w:gridSpan w:val="4"/>
            <w:shd w:val="clear" w:color="auto" w:fill="C5E0B3" w:themeFill="accent6" w:themeFillTint="66"/>
          </w:tcPr>
          <w:p w:rsidR="00C1352C" w:rsidRPr="00A8276A" w:rsidRDefault="00C1352C" w:rsidP="005972BF">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A8276A">
        <w:tc>
          <w:tcPr>
            <w:tcW w:w="3106" w:type="dxa"/>
          </w:tcPr>
          <w:p w:rsidR="00DE0A79" w:rsidRPr="00CB1EE2" w:rsidRDefault="00B82C07" w:rsidP="00CB1EE2">
            <w:pPr>
              <w:spacing w:line="276" w:lineRule="auto"/>
              <w:rPr>
                <w:rFonts w:ascii="Times New Roman" w:hAnsi="Times New Roman" w:cs="Times New Roman"/>
                <w:sz w:val="20"/>
                <w:szCs w:val="24"/>
              </w:rPr>
            </w:pPr>
            <w:r w:rsidRPr="00B82C07">
              <w:rPr>
                <w:rFonts w:ascii="Times New Roman" w:hAnsi="Times New Roman" w:cs="Times New Roman"/>
                <w:b/>
                <w:sz w:val="20"/>
                <w:szCs w:val="24"/>
              </w:rPr>
              <w:t>Kriteri 1:</w:t>
            </w:r>
            <w:r w:rsidRPr="00B82C07">
              <w:rPr>
                <w:rFonts w:ascii="Times New Roman" w:hAnsi="Times New Roman" w:cs="Times New Roman"/>
                <w:sz w:val="20"/>
                <w:szCs w:val="24"/>
              </w:rPr>
              <w:t xml:space="preserve"> Institucioni ka politika, struktura dhe procedura për Sigurimin e Brendshëm të Cilësisë (SBC), në përputhje me parashikimet ligjore e nënligjore në fuqi, dhe me akt</w:t>
            </w:r>
            <w:r w:rsidR="00CB1EE2">
              <w:rPr>
                <w:rFonts w:ascii="Times New Roman" w:hAnsi="Times New Roman" w:cs="Times New Roman"/>
                <w:sz w:val="20"/>
                <w:szCs w:val="24"/>
              </w:rPr>
              <w:t>et rregullatore institucionale.</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CB1EE2" w:rsidRDefault="00B82C07" w:rsidP="00CB1EE2">
            <w:pPr>
              <w:spacing w:line="276" w:lineRule="auto"/>
              <w:rPr>
                <w:rFonts w:ascii="Times New Roman" w:hAnsi="Times New Roman" w:cs="Times New Roman"/>
                <w:sz w:val="20"/>
                <w:szCs w:val="24"/>
              </w:rPr>
            </w:pPr>
            <w:r w:rsidRPr="00B82C07">
              <w:rPr>
                <w:rFonts w:ascii="Times New Roman" w:hAnsi="Times New Roman" w:cs="Times New Roman"/>
                <w:b/>
                <w:sz w:val="20"/>
                <w:szCs w:val="24"/>
              </w:rPr>
              <w:t>Kriteri 2:</w:t>
            </w:r>
            <w:r w:rsidRPr="00B82C07">
              <w:rPr>
                <w:rFonts w:ascii="Times New Roman" w:hAnsi="Times New Roman" w:cs="Times New Roman"/>
                <w:sz w:val="20"/>
                <w:szCs w:val="24"/>
              </w:rPr>
              <w:t xml:space="preserve"> Institucioni ka të ngritur dhe funksional Sistemin e Brendshëm të Sigurimit të Cilësisë dhe zbaton një strategji institucionale për përmirësimin e vazhdueshëm të cilësisë, ku përfshihen edhe studentët dhe bashkëp</w:t>
            </w:r>
            <w:r w:rsidR="00CB1EE2">
              <w:rPr>
                <w:rFonts w:ascii="Times New Roman" w:hAnsi="Times New Roman" w:cs="Times New Roman"/>
                <w:sz w:val="20"/>
                <w:szCs w:val="24"/>
              </w:rPr>
              <w:t xml:space="preserve">unëtorë e ekspertë të jashtëm. </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CB1EE2" w:rsidRDefault="00B82C07" w:rsidP="00CB1EE2">
            <w:pPr>
              <w:spacing w:line="276" w:lineRule="auto"/>
              <w:rPr>
                <w:rFonts w:ascii="Times New Roman" w:hAnsi="Times New Roman" w:cs="Times New Roman"/>
                <w:sz w:val="20"/>
                <w:szCs w:val="24"/>
              </w:rPr>
            </w:pPr>
            <w:r w:rsidRPr="00B82C07">
              <w:rPr>
                <w:rFonts w:ascii="Times New Roman" w:hAnsi="Times New Roman" w:cs="Times New Roman"/>
                <w:b/>
                <w:sz w:val="20"/>
                <w:szCs w:val="24"/>
              </w:rPr>
              <w:t>Kriteri 3:</w:t>
            </w:r>
            <w:r w:rsidRPr="00B82C07">
              <w:rPr>
                <w:rFonts w:ascii="Times New Roman" w:hAnsi="Times New Roman" w:cs="Times New Roman"/>
                <w:sz w:val="20"/>
                <w:szCs w:val="24"/>
              </w:rPr>
              <w:t xml:space="preserve"> Institucioni përdor instrumentet e duhura për sigurimin e cilësisë, Sigurimi i jashtëm i cilësisë në arsimin e lartë realizohet përmes proceseve të vlerësimit të jashtëm të akreditimit, vlerësimeve analitike e krahasuese, si dhe proceseve të tjera që prom</w:t>
            </w:r>
            <w:r w:rsidR="00CB1EE2">
              <w:rPr>
                <w:rFonts w:ascii="Times New Roman" w:hAnsi="Times New Roman" w:cs="Times New Roman"/>
                <w:sz w:val="20"/>
                <w:szCs w:val="24"/>
              </w:rPr>
              <w:t>ovojnë e përmirësojnë cilësinë.</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DE0A79" w:rsidRPr="00CB1EE2" w:rsidRDefault="00B82C07" w:rsidP="00CB1EE2">
            <w:pPr>
              <w:spacing w:line="276" w:lineRule="auto"/>
              <w:rPr>
                <w:rFonts w:ascii="Times New Roman" w:hAnsi="Times New Roman" w:cs="Times New Roman"/>
                <w:sz w:val="20"/>
                <w:szCs w:val="24"/>
              </w:rPr>
            </w:pPr>
            <w:r w:rsidRPr="00B82C07">
              <w:rPr>
                <w:rFonts w:ascii="Times New Roman" w:hAnsi="Times New Roman" w:cs="Times New Roman"/>
                <w:b/>
                <w:sz w:val="20"/>
                <w:szCs w:val="24"/>
              </w:rPr>
              <w:t>Kriteri 4:</w:t>
            </w:r>
            <w:r w:rsidRPr="00B82C07">
              <w:rPr>
                <w:rFonts w:ascii="Times New Roman" w:hAnsi="Times New Roman" w:cs="Times New Roman"/>
                <w:sz w:val="20"/>
                <w:szCs w:val="24"/>
              </w:rPr>
              <w:t xml:space="preserve"> Institucioni ka hartuar një politikë të qartë dhe ndjek procedura periodike për sigurimin dhe përmirësimin e cilësisë së programit të studimit që ofron, në kuadër të SBC. Ato synojnë krijimin e kulturës së cilësisë në rang institucional, të njësive përbërëse dhe të gjithë aktorëve </w:t>
            </w:r>
            <w:r w:rsidR="00CB1EE2">
              <w:rPr>
                <w:rFonts w:ascii="Times New Roman" w:hAnsi="Times New Roman" w:cs="Times New Roman"/>
                <w:sz w:val="20"/>
                <w:szCs w:val="24"/>
              </w:rPr>
              <w:t xml:space="preserve">të brendshëm të institucionit. </w:t>
            </w: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A8276A">
        <w:trPr>
          <w:trHeight w:val="315"/>
        </w:trPr>
        <w:tc>
          <w:tcPr>
            <w:tcW w:w="3106"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74"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62"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758"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A8276A">
        <w:trPr>
          <w:trHeight w:val="315"/>
        </w:trPr>
        <w:tc>
          <w:tcPr>
            <w:tcW w:w="3106"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4"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2" w:type="dxa"/>
          </w:tcPr>
          <w:p w:rsidR="00C1352C" w:rsidRPr="00A8276A" w:rsidRDefault="00C1352C" w:rsidP="00243BA4">
            <w:pPr>
              <w:spacing w:line="276" w:lineRule="auto"/>
              <w:jc w:val="both"/>
              <w:rPr>
                <w:rFonts w:ascii="Times New Roman" w:hAnsi="Times New Roman" w:cs="Times New Roman"/>
                <w:b/>
              </w:rPr>
            </w:pPr>
          </w:p>
        </w:tc>
        <w:tc>
          <w:tcPr>
            <w:tcW w:w="1758" w:type="dxa"/>
          </w:tcPr>
          <w:p w:rsidR="00C1352C" w:rsidRPr="00A8276A" w:rsidRDefault="00C1352C" w:rsidP="00243BA4">
            <w:pPr>
              <w:spacing w:line="276" w:lineRule="auto"/>
              <w:jc w:val="both"/>
              <w:rPr>
                <w:rFonts w:ascii="Times New Roman" w:hAnsi="Times New Roman" w:cs="Times New Roman"/>
                <w:b/>
              </w:rPr>
            </w:pPr>
          </w:p>
        </w:tc>
      </w:tr>
    </w:tbl>
    <w:p w:rsidR="00DE0A79" w:rsidRPr="003F3820" w:rsidRDefault="00DE0A79" w:rsidP="003F3820">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03"/>
        <w:gridCol w:w="1577"/>
        <w:gridCol w:w="1620"/>
        <w:gridCol w:w="1661"/>
        <w:gridCol w:w="1759"/>
      </w:tblGrid>
      <w:tr w:rsidR="00C1352C" w:rsidRPr="00A8276A" w:rsidTr="009E4EA0">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hAnsi="Times New Roman" w:cs="Times New Roman"/>
                <w:b/>
                <w:lang w:val="sq-AL"/>
              </w:rPr>
            </w:pPr>
            <w:r w:rsidRPr="00A8276A">
              <w:rPr>
                <w:rFonts w:ascii="Times New Roman" w:hAnsi="Times New Roman" w:cs="Times New Roman"/>
                <w:b/>
                <w:lang w:val="sq-AL"/>
              </w:rPr>
              <w:t xml:space="preserve">Standardi VI.2  </w:t>
            </w:r>
          </w:p>
          <w:p w:rsidR="00C1352C" w:rsidRPr="00A8276A" w:rsidRDefault="00B82C07" w:rsidP="00243BA4">
            <w:pPr>
              <w:spacing w:line="276" w:lineRule="auto"/>
              <w:jc w:val="both"/>
              <w:rPr>
                <w:rFonts w:ascii="Times New Roman" w:hAnsi="Times New Roman" w:cs="Times New Roman"/>
                <w:b/>
              </w:rPr>
            </w:pPr>
            <w:r w:rsidRPr="00B82C07">
              <w:rPr>
                <w:rFonts w:ascii="Times New Roman" w:hAnsi="Times New Roman" w:cs="Times New Roman"/>
                <w:b/>
                <w:lang w:val="sq-AL"/>
              </w:rPr>
              <w:t>Institucioni dhe njësia përgjegjëse monitoron dhe vlerëson në mënyrë të vazhdueshme programin e studimit, për të garantuar arritjen e objektivave formuese dhe rezultateve të synuara të të nxënit.</w:t>
            </w:r>
          </w:p>
        </w:tc>
      </w:tr>
      <w:tr w:rsidR="00C1352C" w:rsidRPr="00A8276A" w:rsidTr="00A8276A">
        <w:trPr>
          <w:trHeight w:val="377"/>
        </w:trPr>
        <w:tc>
          <w:tcPr>
            <w:tcW w:w="3103"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17" w:type="dxa"/>
            <w:gridSpan w:val="4"/>
            <w:shd w:val="clear" w:color="auto" w:fill="C5E0B3" w:themeFill="accent6" w:themeFillTint="66"/>
          </w:tcPr>
          <w:p w:rsidR="00C1352C" w:rsidRPr="00A8276A" w:rsidRDefault="00C1352C" w:rsidP="005972BF">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A8276A">
        <w:tc>
          <w:tcPr>
            <w:tcW w:w="3103" w:type="dxa"/>
          </w:tcPr>
          <w:p w:rsidR="00DE0A79" w:rsidRPr="00B82C07" w:rsidRDefault="00B82C07" w:rsidP="00CB1EE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1:</w:t>
            </w:r>
            <w:r w:rsidRPr="00B82C07">
              <w:rPr>
                <w:rFonts w:ascii="Times New Roman" w:hAnsi="Times New Roman" w:cs="Times New Roman"/>
                <w:sz w:val="20"/>
                <w:szCs w:val="20"/>
              </w:rPr>
              <w:t xml:space="preserve"> Institucioni ngre njësi të posaçme për monitorimin, shqyrtimin, mbikëqyrjen, rishikimi</w:t>
            </w:r>
            <w:r w:rsidR="00CB1EE2">
              <w:rPr>
                <w:rFonts w:ascii="Times New Roman" w:hAnsi="Times New Roman" w:cs="Times New Roman"/>
                <w:sz w:val="20"/>
                <w:szCs w:val="20"/>
              </w:rPr>
              <w:t>n e programit të specializimit.</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B82C07" w:rsidRDefault="00B82C07" w:rsidP="00CB1EE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2:</w:t>
            </w:r>
            <w:r w:rsidRPr="00B82C07">
              <w:rPr>
                <w:rFonts w:ascii="Times New Roman" w:hAnsi="Times New Roman" w:cs="Times New Roman"/>
                <w:sz w:val="20"/>
                <w:szCs w:val="20"/>
              </w:rPr>
              <w:t xml:space="preserve"> Institucioni përdor mekanizma e procese formale e të dokumentuara, për shqyrtimin, miratimin dhe mbikëqyrjen e herëpashershme</w:t>
            </w:r>
            <w:r w:rsidR="00CB1EE2">
              <w:rPr>
                <w:rFonts w:ascii="Times New Roman" w:hAnsi="Times New Roman" w:cs="Times New Roman"/>
                <w:sz w:val="20"/>
                <w:szCs w:val="20"/>
              </w:rPr>
              <w:t xml:space="preserve"> të programit të specializimit.</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B82C07" w:rsidRDefault="00B82C07" w:rsidP="00CB1EE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3:</w:t>
            </w:r>
            <w:r w:rsidRPr="00B82C07">
              <w:rPr>
                <w:rFonts w:ascii="Times New Roman" w:hAnsi="Times New Roman" w:cs="Times New Roman"/>
                <w:sz w:val="20"/>
                <w:szCs w:val="20"/>
              </w:rPr>
              <w:t xml:space="preserve"> Institucioni ka përcaktuar indikatorë dhe tregues cilësorë të matshëm sasiorë për programin e specializimit në kudër të vlerë</w:t>
            </w:r>
            <w:r w:rsidR="00CB1EE2">
              <w:rPr>
                <w:rFonts w:ascii="Times New Roman" w:hAnsi="Times New Roman" w:cs="Times New Roman"/>
                <w:sz w:val="20"/>
                <w:szCs w:val="20"/>
              </w:rPr>
              <w:t>simit të cilësisë së programit.</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B82C07" w:rsidRDefault="00B82C07" w:rsidP="00CB1EE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4:</w:t>
            </w:r>
            <w:r w:rsidRPr="00B82C07">
              <w:rPr>
                <w:rFonts w:ascii="Times New Roman" w:hAnsi="Times New Roman" w:cs="Times New Roman"/>
                <w:sz w:val="20"/>
                <w:szCs w:val="20"/>
              </w:rPr>
              <w:t xml:space="preserve"> Institucioni përdor metodologji vlerësimi, instrumente matëse dhe vlerësuese për ecurinë dhe mbarëvaj</w:t>
            </w:r>
            <w:r w:rsidR="00CB1EE2">
              <w:rPr>
                <w:rFonts w:ascii="Times New Roman" w:hAnsi="Times New Roman" w:cs="Times New Roman"/>
                <w:sz w:val="20"/>
                <w:szCs w:val="20"/>
              </w:rPr>
              <w:t>tjen e programit të studimit.</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B82C07" w:rsidRPr="00A8276A" w:rsidTr="00A8276A">
        <w:tc>
          <w:tcPr>
            <w:tcW w:w="3103" w:type="dxa"/>
          </w:tcPr>
          <w:p w:rsidR="00B82C07" w:rsidRPr="00B82C07" w:rsidRDefault="00B82C07" w:rsidP="00B82C07">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5:</w:t>
            </w:r>
            <w:r w:rsidRPr="00B82C07">
              <w:rPr>
                <w:rFonts w:ascii="Times New Roman" w:hAnsi="Times New Roman" w:cs="Times New Roman"/>
                <w:sz w:val="20"/>
                <w:szCs w:val="20"/>
              </w:rPr>
              <w:t xml:space="preserve"> Rezultatet e këtyre vlerësimeve dokumentohen dhe u bëhen të njohura autoriteteve përgjegjëse dhe vendimma</w:t>
            </w:r>
            <w:r w:rsidR="00CB1EE2">
              <w:rPr>
                <w:rFonts w:ascii="Times New Roman" w:hAnsi="Times New Roman" w:cs="Times New Roman"/>
                <w:sz w:val="20"/>
                <w:szCs w:val="20"/>
              </w:rPr>
              <w:t>rrëse për programin e studimit.</w:t>
            </w:r>
          </w:p>
        </w:tc>
        <w:tc>
          <w:tcPr>
            <w:tcW w:w="6617" w:type="dxa"/>
            <w:gridSpan w:val="4"/>
          </w:tcPr>
          <w:p w:rsidR="00B82C07" w:rsidRPr="00A8276A" w:rsidRDefault="00B82C07" w:rsidP="00243BA4">
            <w:pPr>
              <w:spacing w:line="276" w:lineRule="auto"/>
              <w:jc w:val="both"/>
              <w:rPr>
                <w:rFonts w:ascii="Times New Roman" w:hAnsi="Times New Roman" w:cs="Times New Roman"/>
                <w:b/>
              </w:rPr>
            </w:pPr>
          </w:p>
        </w:tc>
      </w:tr>
      <w:tr w:rsidR="00B82C07" w:rsidRPr="00A8276A" w:rsidTr="00A8276A">
        <w:tc>
          <w:tcPr>
            <w:tcW w:w="3103" w:type="dxa"/>
          </w:tcPr>
          <w:p w:rsidR="00B82C07" w:rsidRPr="00B82C07" w:rsidRDefault="00B82C07" w:rsidP="00B82C07">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6:</w:t>
            </w:r>
            <w:r w:rsidRPr="00B82C07">
              <w:rPr>
                <w:rFonts w:ascii="Times New Roman" w:hAnsi="Times New Roman" w:cs="Times New Roman"/>
                <w:sz w:val="20"/>
                <w:szCs w:val="20"/>
              </w:rPr>
              <w:t xml:space="preserve"> Raportet e vlerësimit duhet të përfshijnë rezultatet e pritshme, rezultatet e vlerësimit dhe masat e marra për adresimin e mangësive dhe përm</w:t>
            </w:r>
            <w:r w:rsidR="00CB1EE2">
              <w:rPr>
                <w:rFonts w:ascii="Times New Roman" w:hAnsi="Times New Roman" w:cs="Times New Roman"/>
                <w:sz w:val="20"/>
                <w:szCs w:val="20"/>
              </w:rPr>
              <w:t xml:space="preserve">irësimin në vijim të cilësisë. </w:t>
            </w:r>
          </w:p>
        </w:tc>
        <w:tc>
          <w:tcPr>
            <w:tcW w:w="6617" w:type="dxa"/>
            <w:gridSpan w:val="4"/>
          </w:tcPr>
          <w:p w:rsidR="00B82C07" w:rsidRPr="00A8276A" w:rsidRDefault="00B82C07" w:rsidP="00243BA4">
            <w:pPr>
              <w:spacing w:line="276" w:lineRule="auto"/>
              <w:jc w:val="both"/>
              <w:rPr>
                <w:rFonts w:ascii="Times New Roman" w:hAnsi="Times New Roman" w:cs="Times New Roman"/>
                <w:b/>
              </w:rPr>
            </w:pPr>
          </w:p>
        </w:tc>
      </w:tr>
      <w:tr w:rsidR="00C1352C" w:rsidRPr="00A8276A" w:rsidTr="00A8276A">
        <w:trPr>
          <w:trHeight w:val="315"/>
        </w:trPr>
        <w:tc>
          <w:tcPr>
            <w:tcW w:w="3103"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77"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61"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759"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A8276A">
        <w:trPr>
          <w:trHeight w:val="315"/>
        </w:trPr>
        <w:tc>
          <w:tcPr>
            <w:tcW w:w="3103"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1" w:type="dxa"/>
          </w:tcPr>
          <w:p w:rsidR="00C1352C" w:rsidRPr="00A8276A" w:rsidRDefault="00C1352C" w:rsidP="00243BA4">
            <w:pPr>
              <w:spacing w:line="276" w:lineRule="auto"/>
              <w:jc w:val="both"/>
              <w:rPr>
                <w:rFonts w:ascii="Times New Roman" w:hAnsi="Times New Roman" w:cs="Times New Roman"/>
                <w:b/>
              </w:rPr>
            </w:pPr>
          </w:p>
        </w:tc>
        <w:tc>
          <w:tcPr>
            <w:tcW w:w="1759"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90"/>
        <w:gridCol w:w="1590"/>
        <w:gridCol w:w="1620"/>
        <w:gridCol w:w="1657"/>
        <w:gridCol w:w="1763"/>
      </w:tblGrid>
      <w:tr w:rsidR="00C1352C" w:rsidRPr="00A8276A" w:rsidTr="00243BA4">
        <w:tc>
          <w:tcPr>
            <w:tcW w:w="9720" w:type="dxa"/>
            <w:gridSpan w:val="5"/>
            <w:shd w:val="clear" w:color="auto" w:fill="F7CAAC" w:themeFill="accent2"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lang w:val="sq-AL"/>
              </w:rPr>
              <w:t>Standardi VI.3</w:t>
            </w:r>
          </w:p>
          <w:p w:rsidR="00C1352C" w:rsidRPr="00A8276A" w:rsidRDefault="00B82C07" w:rsidP="00243BA4">
            <w:pPr>
              <w:spacing w:line="276" w:lineRule="auto"/>
              <w:jc w:val="both"/>
              <w:rPr>
                <w:rFonts w:ascii="Times New Roman" w:hAnsi="Times New Roman" w:cs="Times New Roman"/>
                <w:b/>
              </w:rPr>
            </w:pPr>
            <w:r w:rsidRPr="00B82C07">
              <w:rPr>
                <w:rFonts w:ascii="Times New Roman" w:eastAsia="Times New Roman" w:hAnsi="Times New Roman" w:cs="Times New Roman"/>
                <w:b/>
                <w:lang w:val="sq-AL"/>
              </w:rPr>
              <w:t>Institucioni dhe njësia përgjegjëse përdor procedura e metodologji vlerësimi, instrumente matëse dhe vlerësuese për hapjen, zhvillimin dhe ecurinë e programit të studimit, diplomimin dhe daljen në tregun e punës apo studimeve të mëtejshme të studentëve.</w:t>
            </w:r>
          </w:p>
        </w:tc>
      </w:tr>
      <w:tr w:rsidR="00C1352C" w:rsidRPr="00A8276A" w:rsidTr="00753369">
        <w:trPr>
          <w:trHeight w:val="395"/>
        </w:trPr>
        <w:tc>
          <w:tcPr>
            <w:tcW w:w="309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30" w:type="dxa"/>
            <w:gridSpan w:val="4"/>
            <w:shd w:val="clear" w:color="auto" w:fill="C5E0B3" w:themeFill="accent6" w:themeFillTint="66"/>
          </w:tcPr>
          <w:p w:rsidR="00C1352C" w:rsidRPr="00A8276A" w:rsidRDefault="00C1352C" w:rsidP="005972BF">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753369">
        <w:tc>
          <w:tcPr>
            <w:tcW w:w="3090" w:type="dxa"/>
          </w:tcPr>
          <w:p w:rsidR="00DE0A79" w:rsidRPr="00B82C07" w:rsidRDefault="00B82C07" w:rsidP="0033714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1:</w:t>
            </w:r>
            <w:r w:rsidRPr="00B82C07">
              <w:rPr>
                <w:rFonts w:ascii="Times New Roman" w:hAnsi="Times New Roman" w:cs="Times New Roman"/>
                <w:sz w:val="20"/>
                <w:szCs w:val="20"/>
              </w:rPr>
              <w:t xml:space="preserve"> Vlerësimi i brendshëm i programit të specializimit kryhet në mënyrë periodike nga njësia e brendshme e cilësisë që lidhet me këtë program studimi. Institucioni i arsimi të lartë e përfshin këtë informacion në vetëvlerësimin institucional në kuadër të akreditimit, apo vetëvlerë</w:t>
            </w:r>
            <w:r w:rsidR="00337142">
              <w:rPr>
                <w:rFonts w:ascii="Times New Roman" w:hAnsi="Times New Roman" w:cs="Times New Roman"/>
                <w:sz w:val="20"/>
                <w:szCs w:val="20"/>
              </w:rPr>
              <w:t xml:space="preserve">simeve të brendshme periodike. </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B82C07" w:rsidRDefault="00B82C07" w:rsidP="0033714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2:</w:t>
            </w:r>
            <w:r w:rsidRPr="00B82C07">
              <w:rPr>
                <w:rFonts w:ascii="Times New Roman" w:hAnsi="Times New Roman" w:cs="Times New Roman"/>
                <w:sz w:val="20"/>
                <w:szCs w:val="20"/>
              </w:rPr>
              <w:t xml:space="preserve"> Për kryerjen e vlerësimit, Institucioni përdor metoda e instrumente të ndryshme, të posaçme e të përshtatshme në përputhje me natyrën dhe specifikën </w:t>
            </w:r>
            <w:r w:rsidR="00337142">
              <w:rPr>
                <w:rFonts w:ascii="Times New Roman" w:hAnsi="Times New Roman" w:cs="Times New Roman"/>
                <w:sz w:val="20"/>
                <w:szCs w:val="20"/>
              </w:rPr>
              <w:t>që ka programi i specializimit.</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B82C07" w:rsidRDefault="00B82C07" w:rsidP="0033714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3:</w:t>
            </w:r>
            <w:r w:rsidRPr="00B82C07">
              <w:rPr>
                <w:rFonts w:ascii="Times New Roman" w:hAnsi="Times New Roman" w:cs="Times New Roman"/>
                <w:sz w:val="20"/>
                <w:szCs w:val="20"/>
              </w:rPr>
              <w:t xml:space="preserve"> Institucioni, në kuadër të vlerësimit të realizimit, mbarëvajtjes e cilësisë së programit përdor metoda të drejtpërdr</w:t>
            </w:r>
            <w:r w:rsidR="00337142">
              <w:rPr>
                <w:rFonts w:ascii="Times New Roman" w:hAnsi="Times New Roman" w:cs="Times New Roman"/>
                <w:sz w:val="20"/>
                <w:szCs w:val="20"/>
              </w:rPr>
              <w:t>ejta për vlerësimin e cilësisë.</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DE0A79" w:rsidRPr="00B82C07" w:rsidRDefault="00B82C07" w:rsidP="00337142">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4:</w:t>
            </w:r>
            <w:r w:rsidRPr="00B82C07">
              <w:rPr>
                <w:rFonts w:ascii="Times New Roman" w:hAnsi="Times New Roman" w:cs="Times New Roman"/>
                <w:sz w:val="20"/>
                <w:szCs w:val="20"/>
              </w:rPr>
              <w:t xml:space="preserve"> Institucioni, në kuadër të vlerësimit të realizimit, mbarëvajtjes e cilësisë së programit përdor metoda të tërthorta vlerësimi si sondazhe e intervista të studentëve, të atyre te diplomuar, të personelit akadem</w:t>
            </w:r>
            <w:r w:rsidR="00337142">
              <w:rPr>
                <w:rFonts w:ascii="Times New Roman" w:hAnsi="Times New Roman" w:cs="Times New Roman"/>
                <w:sz w:val="20"/>
                <w:szCs w:val="20"/>
              </w:rPr>
              <w:t>ik, udhëheqësve dhe partnerëve.</w:t>
            </w: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B82C07" w:rsidRPr="00A8276A" w:rsidTr="00753369">
        <w:tc>
          <w:tcPr>
            <w:tcW w:w="3090" w:type="dxa"/>
          </w:tcPr>
          <w:p w:rsidR="00B82C07" w:rsidRPr="00B82C07" w:rsidRDefault="00B82C07" w:rsidP="00B82C07">
            <w:pPr>
              <w:spacing w:line="276" w:lineRule="auto"/>
              <w:rPr>
                <w:rFonts w:ascii="Times New Roman" w:hAnsi="Times New Roman" w:cs="Times New Roman"/>
                <w:sz w:val="20"/>
                <w:szCs w:val="20"/>
              </w:rPr>
            </w:pPr>
            <w:r w:rsidRPr="00B82C07">
              <w:rPr>
                <w:rFonts w:ascii="Times New Roman" w:hAnsi="Times New Roman" w:cs="Times New Roman"/>
                <w:b/>
                <w:sz w:val="20"/>
                <w:szCs w:val="20"/>
              </w:rPr>
              <w:t>Kriteri 5:</w:t>
            </w:r>
            <w:r w:rsidRPr="00B82C07">
              <w:rPr>
                <w:rFonts w:ascii="Times New Roman" w:hAnsi="Times New Roman" w:cs="Times New Roman"/>
                <w:sz w:val="20"/>
                <w:szCs w:val="20"/>
              </w:rPr>
              <w:t xml:space="preserve"> Mekanizmat e vlerësimit në kuadër të përmirësimet të vazhdueshëm të programit, përfshijnë palët e interesuara, institucionet që bashkëpunojnë në realizimin e programit të studimit dhe palëve të tjera që përfshihen në realizimin apo që shërbejnë për vlerësimin e dijeve e kompetenca</w:t>
            </w:r>
            <w:r w:rsidR="00337142">
              <w:rPr>
                <w:rFonts w:ascii="Times New Roman" w:hAnsi="Times New Roman" w:cs="Times New Roman"/>
                <w:sz w:val="20"/>
                <w:szCs w:val="20"/>
              </w:rPr>
              <w:t>ve të përftuara nga ky program.</w:t>
            </w:r>
          </w:p>
        </w:tc>
        <w:tc>
          <w:tcPr>
            <w:tcW w:w="6630" w:type="dxa"/>
            <w:gridSpan w:val="4"/>
          </w:tcPr>
          <w:p w:rsidR="00B82C07" w:rsidRPr="00A8276A" w:rsidRDefault="00B82C07" w:rsidP="00243BA4">
            <w:pPr>
              <w:spacing w:line="276" w:lineRule="auto"/>
              <w:jc w:val="both"/>
              <w:rPr>
                <w:rFonts w:ascii="Times New Roman" w:hAnsi="Times New Roman" w:cs="Times New Roman"/>
                <w:b/>
              </w:rPr>
            </w:pPr>
          </w:p>
        </w:tc>
      </w:tr>
      <w:tr w:rsidR="00C1352C" w:rsidRPr="00A8276A" w:rsidTr="00753369">
        <w:trPr>
          <w:trHeight w:val="315"/>
        </w:trPr>
        <w:tc>
          <w:tcPr>
            <w:tcW w:w="309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590"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2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57"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763"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753369">
        <w:trPr>
          <w:trHeight w:val="315"/>
        </w:trPr>
        <w:tc>
          <w:tcPr>
            <w:tcW w:w="309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9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57" w:type="dxa"/>
          </w:tcPr>
          <w:p w:rsidR="00C1352C" w:rsidRPr="00A8276A" w:rsidRDefault="00C1352C" w:rsidP="00243BA4">
            <w:pPr>
              <w:spacing w:line="276" w:lineRule="auto"/>
              <w:jc w:val="both"/>
              <w:rPr>
                <w:rFonts w:ascii="Times New Roman" w:hAnsi="Times New Roman" w:cs="Times New Roman"/>
                <w:b/>
              </w:rPr>
            </w:pPr>
          </w:p>
        </w:tc>
        <w:tc>
          <w:tcPr>
            <w:tcW w:w="1763" w:type="dxa"/>
          </w:tcPr>
          <w:p w:rsidR="00C1352C" w:rsidRPr="00A8276A" w:rsidRDefault="00C1352C" w:rsidP="00243BA4">
            <w:pPr>
              <w:spacing w:line="276" w:lineRule="auto"/>
              <w:jc w:val="both"/>
              <w:rPr>
                <w:rFonts w:ascii="Times New Roman" w:hAnsi="Times New Roman" w:cs="Times New Roman"/>
                <w:b/>
              </w:rPr>
            </w:pPr>
          </w:p>
        </w:tc>
      </w:tr>
    </w:tbl>
    <w:p w:rsidR="00502F73" w:rsidRPr="00337142" w:rsidRDefault="00502F73" w:rsidP="0033714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08"/>
        <w:gridCol w:w="1684"/>
        <w:gridCol w:w="1568"/>
        <w:gridCol w:w="1800"/>
      </w:tblGrid>
      <w:tr w:rsidR="00C1352C" w:rsidRPr="00A8276A" w:rsidTr="00243BA4">
        <w:tc>
          <w:tcPr>
            <w:tcW w:w="9720" w:type="dxa"/>
            <w:gridSpan w:val="5"/>
            <w:shd w:val="clear" w:color="auto" w:fill="F7CAAC" w:themeFill="accent2" w:themeFillTint="66"/>
          </w:tcPr>
          <w:p w:rsidR="00C1352C" w:rsidRPr="00A8276A" w:rsidRDefault="00C1352C" w:rsidP="00243BA4">
            <w:pPr>
              <w:ind w:left="1843" w:hanging="1843"/>
              <w:jc w:val="both"/>
              <w:rPr>
                <w:rFonts w:ascii="Times New Roman" w:eastAsia="Times New Roman" w:hAnsi="Times New Roman" w:cs="Times New Roman"/>
                <w:b/>
                <w:lang w:val="sq-AL"/>
              </w:rPr>
            </w:pPr>
            <w:r w:rsidRPr="00A8276A">
              <w:rPr>
                <w:rFonts w:ascii="Times New Roman" w:eastAsia="Times New Roman" w:hAnsi="Times New Roman" w:cs="Times New Roman"/>
                <w:b/>
                <w:lang w:val="sq-AL"/>
              </w:rPr>
              <w:t xml:space="preserve">Standardi VI.4  </w:t>
            </w:r>
          </w:p>
          <w:p w:rsidR="00C1352C" w:rsidRPr="00A8276A" w:rsidRDefault="00B82C07" w:rsidP="00DE0A79">
            <w:pPr>
              <w:jc w:val="both"/>
              <w:rPr>
                <w:rFonts w:ascii="Times New Roman" w:eastAsia="Times New Roman" w:hAnsi="Times New Roman" w:cs="Times New Roman"/>
                <w:b/>
                <w:bCs/>
                <w:lang w:val="sq-AL"/>
              </w:rPr>
            </w:pPr>
            <w:r w:rsidRPr="00B82C07">
              <w:rPr>
                <w:rFonts w:ascii="Times New Roman" w:hAnsi="Times New Roman" w:cs="Times New Roman"/>
                <w:b/>
                <w:lang w:val="sq-AL"/>
              </w:rPr>
              <w:t>Institucioni përfshin njësitë akademike, stafin e studentët në proceset e SBC të programit të studimit dhe informon palët e interesuara në lidhje me rezultatet dhe masat e mara në vijim të tyre.</w:t>
            </w:r>
          </w:p>
        </w:tc>
      </w:tr>
      <w:tr w:rsidR="00C1352C" w:rsidRPr="00A8276A" w:rsidTr="00337142">
        <w:trPr>
          <w:trHeight w:hRule="exact" w:val="397"/>
        </w:trPr>
        <w:tc>
          <w:tcPr>
            <w:tcW w:w="306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8276A" w:rsidRDefault="00C1352C" w:rsidP="005972BF">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753369">
        <w:tc>
          <w:tcPr>
            <w:tcW w:w="3060" w:type="dxa"/>
          </w:tcPr>
          <w:p w:rsidR="00DE0A79" w:rsidRPr="00B8730A" w:rsidRDefault="00B8730A" w:rsidP="00337142">
            <w:pPr>
              <w:spacing w:line="276" w:lineRule="auto"/>
              <w:rPr>
                <w:rFonts w:ascii="Times New Roman" w:hAnsi="Times New Roman" w:cs="Times New Roman"/>
                <w:sz w:val="20"/>
                <w:szCs w:val="20"/>
              </w:rPr>
            </w:pPr>
            <w:r w:rsidRPr="00B8730A">
              <w:rPr>
                <w:rFonts w:ascii="Times New Roman" w:hAnsi="Times New Roman" w:cs="Times New Roman"/>
                <w:b/>
                <w:sz w:val="20"/>
                <w:szCs w:val="20"/>
              </w:rPr>
              <w:t>Kriteri 1:</w:t>
            </w:r>
            <w:r w:rsidRPr="00B8730A">
              <w:rPr>
                <w:rFonts w:ascii="Times New Roman" w:hAnsi="Times New Roman" w:cs="Times New Roman"/>
                <w:sz w:val="20"/>
                <w:szCs w:val="20"/>
              </w:rPr>
              <w:t xml:space="preserve"> Institucioni duhet të parashikojë dhe garantojë në politikat dhe procedurat e brendshme të cilësisë përfshirjen e aktorëve të brendshëm dhe të jashtëm të interesuara për sigurimin dhe përmirësimin e vazhdua</w:t>
            </w:r>
            <w:r w:rsidR="00337142">
              <w:rPr>
                <w:rFonts w:ascii="Times New Roman" w:hAnsi="Times New Roman" w:cs="Times New Roman"/>
                <w:sz w:val="20"/>
                <w:szCs w:val="20"/>
              </w:rPr>
              <w:t>r të cilësisë së programit.</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B8730A" w:rsidP="00337142">
            <w:pPr>
              <w:spacing w:line="276" w:lineRule="auto"/>
              <w:rPr>
                <w:rFonts w:ascii="Times New Roman" w:hAnsi="Times New Roman" w:cs="Times New Roman"/>
                <w:sz w:val="20"/>
                <w:szCs w:val="20"/>
              </w:rPr>
            </w:pPr>
            <w:r w:rsidRPr="00B8730A">
              <w:rPr>
                <w:rFonts w:ascii="Times New Roman" w:hAnsi="Times New Roman" w:cs="Times New Roman"/>
                <w:b/>
                <w:sz w:val="20"/>
                <w:szCs w:val="20"/>
              </w:rPr>
              <w:t>Kriteri 2:</w:t>
            </w:r>
            <w:r w:rsidRPr="00B8730A">
              <w:rPr>
                <w:rFonts w:ascii="Times New Roman" w:hAnsi="Times New Roman" w:cs="Times New Roman"/>
                <w:sz w:val="20"/>
                <w:szCs w:val="20"/>
              </w:rPr>
              <w:t xml:space="preserve"> Institucioni përcakton përgjegjësi dhe detyra konkrete për njësitë, individët, studentët dhe palë të tjera të angazhuara në sigurimin e brendshëm të cilësisë së programit të studimit, dhe garanton ushtrimin me përg</w:t>
            </w:r>
            <w:r w:rsidR="00337142">
              <w:rPr>
                <w:rFonts w:ascii="Times New Roman" w:hAnsi="Times New Roman" w:cs="Times New Roman"/>
                <w:sz w:val="20"/>
                <w:szCs w:val="20"/>
              </w:rPr>
              <w:t xml:space="preserve">jegjësi të këtyre detyrave.  </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B8730A" w:rsidP="00337142">
            <w:pPr>
              <w:spacing w:line="276" w:lineRule="auto"/>
              <w:rPr>
                <w:rFonts w:ascii="Times New Roman" w:hAnsi="Times New Roman" w:cs="Times New Roman"/>
                <w:sz w:val="20"/>
                <w:szCs w:val="20"/>
              </w:rPr>
            </w:pPr>
            <w:r w:rsidRPr="00B8730A">
              <w:rPr>
                <w:rFonts w:ascii="Times New Roman" w:hAnsi="Times New Roman" w:cs="Times New Roman"/>
                <w:b/>
                <w:sz w:val="20"/>
                <w:szCs w:val="20"/>
              </w:rPr>
              <w:t>Kriteri 3:</w:t>
            </w:r>
            <w:r w:rsidRPr="00B8730A">
              <w:rPr>
                <w:rFonts w:ascii="Times New Roman" w:hAnsi="Times New Roman" w:cs="Times New Roman"/>
                <w:sz w:val="20"/>
                <w:szCs w:val="20"/>
              </w:rPr>
              <w:t xml:space="preserve"> Në vlerësimin dhe sigurimin e cilësisë së programit të studimit duhet të garantohet përfshirja e njësisë përgjegjëse për programin e studimit, anëtarët e personelit akademik, ndihmës-akademik e administrative dhe stu</w:t>
            </w:r>
            <w:r w:rsidR="00337142">
              <w:rPr>
                <w:rFonts w:ascii="Times New Roman" w:hAnsi="Times New Roman" w:cs="Times New Roman"/>
                <w:sz w:val="20"/>
                <w:szCs w:val="20"/>
              </w:rPr>
              <w:t>dentët e programit të studimit.</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B8730A" w:rsidP="00337142">
            <w:pPr>
              <w:spacing w:line="276" w:lineRule="auto"/>
              <w:rPr>
                <w:rFonts w:ascii="Times New Roman" w:hAnsi="Times New Roman" w:cs="Times New Roman"/>
                <w:sz w:val="20"/>
                <w:szCs w:val="20"/>
              </w:rPr>
            </w:pPr>
            <w:r w:rsidRPr="00B8730A">
              <w:rPr>
                <w:rFonts w:ascii="Times New Roman" w:hAnsi="Times New Roman" w:cs="Times New Roman"/>
                <w:b/>
                <w:sz w:val="20"/>
                <w:szCs w:val="20"/>
              </w:rPr>
              <w:t>Kriteri 4:</w:t>
            </w:r>
            <w:r w:rsidRPr="00B8730A">
              <w:rPr>
                <w:rFonts w:ascii="Times New Roman" w:hAnsi="Times New Roman" w:cs="Times New Roman"/>
                <w:sz w:val="20"/>
                <w:szCs w:val="20"/>
              </w:rPr>
              <w:t xml:space="preserve"> Përfshirja dhe aktivizimi i aktorëve të brendshëm në proceset ciklike të vlerësimit duhet të respektojë integritetin akademik dhe të shmangë çdo lloj diskriminimi apo pabarazie kundrejt personelit dhe stude</w:t>
            </w:r>
            <w:r w:rsidR="00337142">
              <w:rPr>
                <w:rFonts w:ascii="Times New Roman" w:hAnsi="Times New Roman" w:cs="Times New Roman"/>
                <w:sz w:val="20"/>
                <w:szCs w:val="20"/>
              </w:rPr>
              <w:t>ntëve.</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B8730A" w:rsidP="00337142">
            <w:pPr>
              <w:spacing w:line="276" w:lineRule="auto"/>
              <w:rPr>
                <w:rFonts w:ascii="Times New Roman" w:hAnsi="Times New Roman" w:cs="Times New Roman"/>
                <w:sz w:val="20"/>
                <w:szCs w:val="20"/>
              </w:rPr>
            </w:pPr>
            <w:r w:rsidRPr="00B8730A">
              <w:rPr>
                <w:rFonts w:ascii="Times New Roman" w:hAnsi="Times New Roman" w:cs="Times New Roman"/>
                <w:b/>
                <w:sz w:val="20"/>
                <w:szCs w:val="20"/>
              </w:rPr>
              <w:t>Kriteri 5:</w:t>
            </w:r>
            <w:r w:rsidRPr="00B8730A">
              <w:rPr>
                <w:rFonts w:ascii="Times New Roman" w:hAnsi="Times New Roman" w:cs="Times New Roman"/>
                <w:sz w:val="20"/>
                <w:szCs w:val="20"/>
              </w:rPr>
              <w:t xml:space="preserve"> Pjesë aktive e proceseve të vlerësimit dhe sigurimit të brendshëm të cilësisë, mund të bëhen edhe bashkëpunëtorë dhe/ose ekspertë të jashtëm që kanë lidhje me programin e studimit apo mund të japin ekspertizë e mendime të vyera në lidhje me cilësinë e pr</w:t>
            </w:r>
            <w:r w:rsidR="00337142">
              <w:rPr>
                <w:rFonts w:ascii="Times New Roman" w:hAnsi="Times New Roman" w:cs="Times New Roman"/>
                <w:sz w:val="20"/>
                <w:szCs w:val="20"/>
              </w:rPr>
              <w:t>ogramit dhe përmirësimin e saj.</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B8730A" w:rsidRPr="00A8276A" w:rsidTr="00753369">
        <w:tc>
          <w:tcPr>
            <w:tcW w:w="3060" w:type="dxa"/>
          </w:tcPr>
          <w:p w:rsidR="00B8730A" w:rsidRPr="00B8730A" w:rsidRDefault="00B8730A" w:rsidP="00B8730A">
            <w:pPr>
              <w:spacing w:line="276" w:lineRule="auto"/>
              <w:rPr>
                <w:rFonts w:ascii="Times New Roman" w:hAnsi="Times New Roman" w:cs="Times New Roman"/>
                <w:sz w:val="20"/>
                <w:szCs w:val="20"/>
              </w:rPr>
            </w:pPr>
            <w:r w:rsidRPr="00B8730A">
              <w:rPr>
                <w:rFonts w:ascii="Times New Roman" w:hAnsi="Times New Roman" w:cs="Times New Roman"/>
                <w:b/>
                <w:sz w:val="20"/>
                <w:szCs w:val="20"/>
              </w:rPr>
              <w:t>Kriteri 6:</w:t>
            </w:r>
            <w:r w:rsidRPr="00B8730A">
              <w:rPr>
                <w:rFonts w:ascii="Times New Roman" w:hAnsi="Times New Roman" w:cs="Times New Roman"/>
                <w:sz w:val="20"/>
                <w:szCs w:val="20"/>
              </w:rPr>
              <w:t xml:space="preserve"> Monitorimi i ecurisë akademike e programit dhe sigurimi i cilësisë, është pjesë e veprimtarisë së njësisë përgjegjës</w:t>
            </w:r>
            <w:r w:rsidR="00337142">
              <w:rPr>
                <w:rFonts w:ascii="Times New Roman" w:hAnsi="Times New Roman" w:cs="Times New Roman"/>
                <w:sz w:val="20"/>
                <w:szCs w:val="20"/>
              </w:rPr>
              <w:t>e që ofron programin dhe NJSBC.</w:t>
            </w:r>
          </w:p>
        </w:tc>
        <w:tc>
          <w:tcPr>
            <w:tcW w:w="6660" w:type="dxa"/>
            <w:gridSpan w:val="4"/>
          </w:tcPr>
          <w:p w:rsidR="00B8730A" w:rsidRPr="00A8276A" w:rsidRDefault="00B8730A" w:rsidP="00243BA4">
            <w:pPr>
              <w:spacing w:line="276" w:lineRule="auto"/>
              <w:jc w:val="both"/>
              <w:rPr>
                <w:rFonts w:ascii="Times New Roman" w:hAnsi="Times New Roman" w:cs="Times New Roman"/>
                <w:b/>
              </w:rPr>
            </w:pPr>
          </w:p>
        </w:tc>
      </w:tr>
      <w:tr w:rsidR="00C1352C" w:rsidRPr="00A8276A" w:rsidTr="00753369">
        <w:trPr>
          <w:trHeight w:val="315"/>
        </w:trPr>
        <w:tc>
          <w:tcPr>
            <w:tcW w:w="306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608"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684"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568"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800"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753369">
        <w:trPr>
          <w:trHeight w:val="350"/>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08" w:type="dxa"/>
          </w:tcPr>
          <w:p w:rsidR="00C1352C" w:rsidRPr="00A8276A" w:rsidRDefault="00C1352C" w:rsidP="00243BA4">
            <w:pPr>
              <w:spacing w:line="276" w:lineRule="auto"/>
              <w:jc w:val="both"/>
              <w:rPr>
                <w:rFonts w:ascii="Times New Roman" w:hAnsi="Times New Roman" w:cs="Times New Roman"/>
                <w:b/>
              </w:rPr>
            </w:pPr>
          </w:p>
        </w:tc>
        <w:tc>
          <w:tcPr>
            <w:tcW w:w="1684" w:type="dxa"/>
          </w:tcPr>
          <w:p w:rsidR="00C1352C" w:rsidRPr="00A8276A" w:rsidRDefault="00C1352C" w:rsidP="00243BA4">
            <w:pPr>
              <w:spacing w:line="276" w:lineRule="auto"/>
              <w:jc w:val="both"/>
              <w:rPr>
                <w:rFonts w:ascii="Times New Roman" w:hAnsi="Times New Roman" w:cs="Times New Roman"/>
                <w:b/>
              </w:rPr>
            </w:pPr>
          </w:p>
        </w:tc>
        <w:tc>
          <w:tcPr>
            <w:tcW w:w="1568"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DE0A79" w:rsidRPr="003F3820" w:rsidRDefault="00DE0A79" w:rsidP="003F3820">
      <w:pPr>
        <w:spacing w:line="276" w:lineRule="auto"/>
        <w:jc w:val="both"/>
        <w:rPr>
          <w:rFonts w:ascii="Times New Roman" w:hAnsi="Times New Roman" w:cs="Times New Roman"/>
          <w:b/>
        </w:rPr>
      </w:pPr>
    </w:p>
    <w:tbl>
      <w:tblPr>
        <w:tblStyle w:val="TableGrid"/>
        <w:tblW w:w="9723" w:type="dxa"/>
        <w:tblInd w:w="-185" w:type="dxa"/>
        <w:tblLook w:val="04A0" w:firstRow="1" w:lastRow="0" w:firstColumn="1" w:lastColumn="0" w:noHBand="0" w:noVBand="1"/>
      </w:tblPr>
      <w:tblGrid>
        <w:gridCol w:w="3060"/>
        <w:gridCol w:w="1663"/>
        <w:gridCol w:w="1577"/>
        <w:gridCol w:w="1620"/>
        <w:gridCol w:w="1803"/>
      </w:tblGrid>
      <w:tr w:rsidR="00C1352C" w:rsidRPr="00A8276A" w:rsidTr="00EA23C7">
        <w:tc>
          <w:tcPr>
            <w:tcW w:w="9723" w:type="dxa"/>
            <w:gridSpan w:val="5"/>
            <w:shd w:val="clear" w:color="auto" w:fill="F7CAAC" w:themeFill="accent2" w:themeFillTint="66"/>
          </w:tcPr>
          <w:p w:rsidR="00C1352C" w:rsidRPr="00A8276A" w:rsidRDefault="00C1352C" w:rsidP="00243BA4">
            <w:pPr>
              <w:ind w:left="1843" w:hanging="1843"/>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Standardi VI.5  </w:t>
            </w:r>
          </w:p>
          <w:p w:rsidR="00C1352C" w:rsidRPr="00A8276A" w:rsidRDefault="00B8730A" w:rsidP="00DE0A79">
            <w:pPr>
              <w:jc w:val="both"/>
              <w:rPr>
                <w:rFonts w:ascii="Times New Roman" w:eastAsia="Times New Roman" w:hAnsi="Times New Roman" w:cs="Times New Roman"/>
                <w:b/>
                <w:bCs/>
                <w:lang w:val="sq-AL"/>
              </w:rPr>
            </w:pPr>
            <w:r w:rsidRPr="00B8730A">
              <w:rPr>
                <w:rFonts w:ascii="Times New Roman" w:eastAsia="Times New Roman" w:hAnsi="Times New Roman" w:cs="Times New Roman"/>
                <w:b/>
                <w:bCs/>
                <w:lang w:val="sq-AL"/>
              </w:rPr>
              <w:t>Politikat, proceset dhe veprimtaritë për Sigurimin e Brendshëm të cilësisë për programin e studimit, duhet të jenë publike, transparente dhe efektive, dhe të synojnë krijimin e Kulturës së Brendshme të Cilësisë.</w:t>
            </w:r>
          </w:p>
        </w:tc>
      </w:tr>
      <w:tr w:rsidR="00C1352C" w:rsidRPr="00A8276A" w:rsidTr="00EA23C7">
        <w:trPr>
          <w:trHeight w:val="395"/>
        </w:trPr>
        <w:tc>
          <w:tcPr>
            <w:tcW w:w="3060" w:type="dxa"/>
            <w:shd w:val="clear" w:color="auto" w:fill="C5E0B3" w:themeFill="accent6" w:themeFillTint="66"/>
          </w:tcPr>
          <w:p w:rsidR="00C1352C" w:rsidRPr="00A8276A" w:rsidRDefault="00C1352C" w:rsidP="00243BA4">
            <w:pPr>
              <w:spacing w:line="276" w:lineRule="auto"/>
              <w:jc w:val="both"/>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Kriteret</w:t>
            </w:r>
          </w:p>
        </w:tc>
        <w:tc>
          <w:tcPr>
            <w:tcW w:w="6663" w:type="dxa"/>
            <w:gridSpan w:val="4"/>
            <w:shd w:val="clear" w:color="auto" w:fill="C5E0B3" w:themeFill="accent6" w:themeFillTint="66"/>
          </w:tcPr>
          <w:p w:rsidR="00C1352C" w:rsidRPr="00A8276A" w:rsidRDefault="00C1352C" w:rsidP="005972BF">
            <w:pPr>
              <w:spacing w:line="276" w:lineRule="auto"/>
              <w:jc w:val="center"/>
              <w:rPr>
                <w:rFonts w:ascii="Times New Roman" w:eastAsia="Times New Roman" w:hAnsi="Times New Roman" w:cs="Times New Roman"/>
                <w:b/>
                <w:bCs/>
                <w:lang w:val="sq-AL"/>
              </w:rPr>
            </w:pPr>
            <w:r w:rsidRPr="00A8276A">
              <w:rPr>
                <w:rFonts w:ascii="Times New Roman" w:eastAsia="Times New Roman" w:hAnsi="Times New Roman" w:cs="Times New Roman"/>
                <w:b/>
                <w:bCs/>
                <w:lang w:val="sq-AL"/>
              </w:rPr>
              <w:t xml:space="preserve">Vlerësimi </w:t>
            </w:r>
          </w:p>
        </w:tc>
      </w:tr>
      <w:tr w:rsidR="00DE0A79" w:rsidRPr="00A8276A" w:rsidTr="00EA23C7">
        <w:tc>
          <w:tcPr>
            <w:tcW w:w="3060" w:type="dxa"/>
          </w:tcPr>
          <w:p w:rsidR="00DE0A79" w:rsidRPr="00DF675B" w:rsidRDefault="00DF675B" w:rsidP="00337142">
            <w:pPr>
              <w:spacing w:line="276" w:lineRule="auto"/>
              <w:rPr>
                <w:rFonts w:ascii="Times New Roman" w:hAnsi="Times New Roman" w:cs="Times New Roman"/>
                <w:sz w:val="20"/>
                <w:szCs w:val="20"/>
              </w:rPr>
            </w:pPr>
            <w:r w:rsidRPr="00DF675B">
              <w:rPr>
                <w:rFonts w:ascii="Times New Roman" w:hAnsi="Times New Roman" w:cs="Times New Roman"/>
                <w:b/>
                <w:sz w:val="20"/>
                <w:szCs w:val="20"/>
              </w:rPr>
              <w:t>Kriteri 1:</w:t>
            </w:r>
            <w:r w:rsidRPr="00DF675B">
              <w:rPr>
                <w:rFonts w:ascii="Times New Roman" w:hAnsi="Times New Roman" w:cs="Times New Roman"/>
                <w:sz w:val="20"/>
                <w:szCs w:val="20"/>
              </w:rPr>
              <w:t xml:space="preserve"> Politika, strategjia, organizimi dhe veprimtaritë në kuadër të sistemit të Sigurimit të Brendshëm të Cilësisë për programin e studimit janë transparente dhe bëhen publike për studentët dhe të gjithë</w:t>
            </w:r>
            <w:r w:rsidR="00337142">
              <w:rPr>
                <w:rFonts w:ascii="Times New Roman" w:hAnsi="Times New Roman" w:cs="Times New Roman"/>
                <w:sz w:val="20"/>
                <w:szCs w:val="20"/>
              </w:rPr>
              <w:t xml:space="preserve"> të interesuarit.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DF675B" w:rsidRDefault="00DF675B" w:rsidP="00337142">
            <w:pPr>
              <w:spacing w:line="276" w:lineRule="auto"/>
              <w:rPr>
                <w:rFonts w:ascii="Times New Roman" w:hAnsi="Times New Roman" w:cs="Times New Roman"/>
                <w:sz w:val="20"/>
                <w:szCs w:val="20"/>
              </w:rPr>
            </w:pPr>
            <w:r w:rsidRPr="00DF675B">
              <w:rPr>
                <w:rFonts w:ascii="Times New Roman" w:hAnsi="Times New Roman" w:cs="Times New Roman"/>
                <w:b/>
                <w:sz w:val="20"/>
                <w:szCs w:val="20"/>
              </w:rPr>
              <w:t>Kriteri 2:</w:t>
            </w:r>
            <w:r w:rsidRPr="00DF675B">
              <w:rPr>
                <w:rFonts w:ascii="Times New Roman" w:hAnsi="Times New Roman" w:cs="Times New Roman"/>
                <w:sz w:val="20"/>
                <w:szCs w:val="20"/>
              </w:rPr>
              <w:t xml:space="preserve"> Institucioni dhe njësia përgjegjëse publikon rezultatet e vlerësimeve të programit të studimit, duke respektuar lirinë dhe etikën akademike, si dhe legjisla</w:t>
            </w:r>
            <w:r w:rsidR="00337142">
              <w:rPr>
                <w:rFonts w:ascii="Times New Roman" w:hAnsi="Times New Roman" w:cs="Times New Roman"/>
                <w:sz w:val="20"/>
                <w:szCs w:val="20"/>
              </w:rPr>
              <w:t>cionin për të dhënat personale.</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DF675B" w:rsidRDefault="00DF675B" w:rsidP="00337142">
            <w:pPr>
              <w:spacing w:line="276" w:lineRule="auto"/>
              <w:rPr>
                <w:rFonts w:ascii="Times New Roman" w:hAnsi="Times New Roman" w:cs="Times New Roman"/>
                <w:sz w:val="20"/>
                <w:szCs w:val="20"/>
              </w:rPr>
            </w:pPr>
            <w:r w:rsidRPr="00DF675B">
              <w:rPr>
                <w:rFonts w:ascii="Times New Roman" w:hAnsi="Times New Roman" w:cs="Times New Roman"/>
                <w:b/>
                <w:sz w:val="20"/>
                <w:szCs w:val="20"/>
              </w:rPr>
              <w:t>Kriteri 3:</w:t>
            </w:r>
            <w:r w:rsidRPr="00DF675B">
              <w:rPr>
                <w:rFonts w:ascii="Times New Roman" w:hAnsi="Times New Roman" w:cs="Times New Roman"/>
                <w:sz w:val="20"/>
                <w:szCs w:val="20"/>
              </w:rPr>
              <w:t xml:space="preserve"> Rezultatet e vlerësimit duhet të shoqërohen me një plan masash, që adresojnë dhe synojnë përmirësimin e mangë</w:t>
            </w:r>
            <w:r w:rsidR="00337142">
              <w:rPr>
                <w:rFonts w:ascii="Times New Roman" w:hAnsi="Times New Roman" w:cs="Times New Roman"/>
                <w:sz w:val="20"/>
                <w:szCs w:val="20"/>
              </w:rPr>
              <w:t>sive e dobësive të evidentuara.</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DF675B" w:rsidRDefault="00DF675B" w:rsidP="00337142">
            <w:pPr>
              <w:spacing w:line="276" w:lineRule="auto"/>
              <w:rPr>
                <w:rFonts w:ascii="Times New Roman" w:hAnsi="Times New Roman" w:cs="Times New Roman"/>
                <w:sz w:val="20"/>
                <w:szCs w:val="20"/>
              </w:rPr>
            </w:pPr>
            <w:r w:rsidRPr="00DF675B">
              <w:rPr>
                <w:rFonts w:ascii="Times New Roman" w:hAnsi="Times New Roman" w:cs="Times New Roman"/>
                <w:b/>
                <w:sz w:val="20"/>
                <w:szCs w:val="20"/>
              </w:rPr>
              <w:t>Kriteri 4:</w:t>
            </w:r>
            <w:r w:rsidRPr="00DF675B">
              <w:rPr>
                <w:rFonts w:ascii="Times New Roman" w:hAnsi="Times New Roman" w:cs="Times New Roman"/>
                <w:sz w:val="20"/>
                <w:szCs w:val="20"/>
              </w:rPr>
              <w:t xml:space="preserve"> Institucioni vlerëson dhe siguron efektivitetin dhe impaktin e veprimtarive në kuadër të monitorimit e vlerësimit të cilësisë, në përmirësimin në vijim të cil</w:t>
            </w:r>
            <w:r w:rsidR="00337142">
              <w:rPr>
                <w:rFonts w:ascii="Times New Roman" w:hAnsi="Times New Roman" w:cs="Times New Roman"/>
                <w:sz w:val="20"/>
                <w:szCs w:val="20"/>
              </w:rPr>
              <w:t>ësisë së programit të studimit.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DE0A79" w:rsidRPr="00DF675B" w:rsidRDefault="00DF675B" w:rsidP="00337142">
            <w:pPr>
              <w:spacing w:line="276" w:lineRule="auto"/>
              <w:rPr>
                <w:rFonts w:ascii="Times New Roman" w:hAnsi="Times New Roman" w:cs="Times New Roman"/>
                <w:sz w:val="20"/>
                <w:szCs w:val="20"/>
              </w:rPr>
            </w:pPr>
            <w:r w:rsidRPr="00B5591E">
              <w:rPr>
                <w:rFonts w:ascii="Times New Roman" w:hAnsi="Times New Roman" w:cs="Times New Roman"/>
                <w:b/>
                <w:sz w:val="20"/>
                <w:szCs w:val="20"/>
              </w:rPr>
              <w:t>Kriteri 5:</w:t>
            </w:r>
            <w:r w:rsidRPr="00DF675B">
              <w:rPr>
                <w:rFonts w:ascii="Times New Roman" w:hAnsi="Times New Roman" w:cs="Times New Roman"/>
                <w:sz w:val="20"/>
                <w:szCs w:val="20"/>
              </w:rPr>
              <w:t xml:space="preserve"> Institucioni dhe njësia përgjegjëse organizon veprimtari periodike me personelin akademik </w:t>
            </w:r>
            <w:r w:rsidR="00B5591E" w:rsidRPr="00DF675B">
              <w:rPr>
                <w:rFonts w:ascii="Times New Roman" w:hAnsi="Times New Roman" w:cs="Times New Roman"/>
                <w:sz w:val="20"/>
                <w:szCs w:val="20"/>
              </w:rPr>
              <w:t>përgjegjëse dhe</w:t>
            </w:r>
            <w:r w:rsidRPr="00DF675B">
              <w:rPr>
                <w:rFonts w:ascii="Times New Roman" w:hAnsi="Times New Roman" w:cs="Times New Roman"/>
                <w:sz w:val="20"/>
                <w:szCs w:val="20"/>
              </w:rPr>
              <w:t xml:space="preserve"> studentët për informimin dhe ndërgjegjësimin e tyre për sigurimin dhe përmirësimin e afat</w:t>
            </w:r>
            <w:r w:rsidR="00337142">
              <w:rPr>
                <w:rFonts w:ascii="Times New Roman" w:hAnsi="Times New Roman" w:cs="Times New Roman"/>
                <w:sz w:val="20"/>
                <w:szCs w:val="20"/>
              </w:rPr>
              <w:t>gjatë të cilësisë së programit.</w:t>
            </w: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C1352C" w:rsidRPr="00A8276A" w:rsidTr="00EA23C7">
        <w:trPr>
          <w:trHeight w:val="315"/>
        </w:trPr>
        <w:tc>
          <w:tcPr>
            <w:tcW w:w="3060" w:type="dxa"/>
            <w:vMerge w:val="restart"/>
            <w:shd w:val="clear" w:color="auto" w:fill="F7CAAC" w:themeFill="accent2" w:themeFillTint="66"/>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standardit</w:t>
            </w:r>
          </w:p>
        </w:tc>
        <w:tc>
          <w:tcPr>
            <w:tcW w:w="1663"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577"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20"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w:t>
            </w:r>
            <w:r w:rsidRPr="00A8276A">
              <w:rPr>
                <w:rFonts w:ascii="Times New Roman" w:hAnsi="Times New Roman" w:cs="Times New Roman"/>
                <w:b/>
                <w:shd w:val="clear" w:color="auto" w:fill="CCCC00"/>
              </w:rPr>
              <w:t>s</w:t>
            </w:r>
            <w:r w:rsidRPr="00A8276A">
              <w:rPr>
                <w:rFonts w:ascii="Times New Roman" w:hAnsi="Times New Roman" w:cs="Times New Roman"/>
                <w:b/>
              </w:rPr>
              <w:t>isht</w:t>
            </w:r>
          </w:p>
        </w:tc>
        <w:tc>
          <w:tcPr>
            <w:tcW w:w="1803"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EA23C7">
        <w:trPr>
          <w:trHeight w:val="368"/>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63" w:type="dxa"/>
          </w:tcPr>
          <w:p w:rsidR="00C1352C" w:rsidRPr="00A8276A" w:rsidRDefault="00C1352C" w:rsidP="00243BA4">
            <w:pPr>
              <w:spacing w:line="276" w:lineRule="auto"/>
              <w:jc w:val="both"/>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3" w:type="dxa"/>
          </w:tcPr>
          <w:p w:rsidR="00C1352C" w:rsidRPr="00A8276A" w:rsidRDefault="00C1352C" w:rsidP="00243BA4">
            <w:pPr>
              <w:spacing w:line="276" w:lineRule="auto"/>
              <w:jc w:val="both"/>
              <w:rPr>
                <w:rFonts w:ascii="Times New Roman" w:hAnsi="Times New Roman" w:cs="Times New Roman"/>
                <w:b/>
              </w:rPr>
            </w:pPr>
          </w:p>
        </w:tc>
      </w:tr>
    </w:tbl>
    <w:p w:rsidR="00B5591E" w:rsidRPr="00A8276A" w:rsidRDefault="00B5591E"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710"/>
        <w:gridCol w:w="1530"/>
        <w:gridCol w:w="1620"/>
        <w:gridCol w:w="1800"/>
      </w:tblGrid>
      <w:tr w:rsidR="00C1352C" w:rsidRPr="00A8276A" w:rsidTr="00EA23C7">
        <w:trPr>
          <w:trHeight w:val="315"/>
        </w:trPr>
        <w:tc>
          <w:tcPr>
            <w:tcW w:w="3060" w:type="dxa"/>
            <w:vMerge w:val="restart"/>
          </w:tcPr>
          <w:p w:rsidR="00C1352C" w:rsidRPr="00A8276A" w:rsidRDefault="00C1352C" w:rsidP="00243BA4">
            <w:pPr>
              <w:spacing w:line="276" w:lineRule="auto"/>
              <w:rPr>
                <w:rFonts w:ascii="Times New Roman" w:hAnsi="Times New Roman" w:cs="Times New Roman"/>
                <w:b/>
              </w:rPr>
            </w:pPr>
            <w:r w:rsidRPr="00A8276A">
              <w:rPr>
                <w:rFonts w:ascii="Times New Roman" w:hAnsi="Times New Roman" w:cs="Times New Roman"/>
                <w:b/>
              </w:rPr>
              <w:t>Shkalla e përmbushjes së standardeve të fushës VI</w:t>
            </w:r>
          </w:p>
        </w:tc>
        <w:tc>
          <w:tcPr>
            <w:tcW w:w="1710" w:type="dxa"/>
            <w:shd w:val="clear" w:color="auto" w:fill="FF00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Nuk përmbushet</w:t>
            </w:r>
          </w:p>
        </w:tc>
        <w:tc>
          <w:tcPr>
            <w:tcW w:w="1530" w:type="dxa"/>
            <w:shd w:val="clear" w:color="auto" w:fill="FF66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pjesërisht</w:t>
            </w:r>
          </w:p>
        </w:tc>
        <w:tc>
          <w:tcPr>
            <w:tcW w:w="1620" w:type="dxa"/>
            <w:shd w:val="clear" w:color="auto" w:fill="CCCC0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kryesisht</w:t>
            </w:r>
          </w:p>
        </w:tc>
        <w:tc>
          <w:tcPr>
            <w:tcW w:w="1800" w:type="dxa"/>
            <w:shd w:val="clear" w:color="auto" w:fill="92D050"/>
          </w:tcPr>
          <w:p w:rsidR="00C1352C" w:rsidRPr="00A8276A" w:rsidRDefault="00C1352C" w:rsidP="00243BA4">
            <w:pPr>
              <w:spacing w:line="276" w:lineRule="auto"/>
              <w:jc w:val="both"/>
              <w:rPr>
                <w:rFonts w:ascii="Times New Roman" w:hAnsi="Times New Roman" w:cs="Times New Roman"/>
                <w:b/>
              </w:rPr>
            </w:pPr>
            <w:r w:rsidRPr="00A8276A">
              <w:rPr>
                <w:rFonts w:ascii="Times New Roman" w:hAnsi="Times New Roman" w:cs="Times New Roman"/>
                <w:b/>
              </w:rPr>
              <w:t>Përmbushet plotësisht</w:t>
            </w:r>
          </w:p>
        </w:tc>
      </w:tr>
      <w:tr w:rsidR="00C1352C" w:rsidRPr="00A8276A" w:rsidTr="00EA23C7">
        <w:trPr>
          <w:trHeight w:val="315"/>
        </w:trPr>
        <w:tc>
          <w:tcPr>
            <w:tcW w:w="3060" w:type="dxa"/>
            <w:vMerge/>
          </w:tcPr>
          <w:p w:rsidR="00C1352C" w:rsidRPr="00A8276A" w:rsidRDefault="00C1352C" w:rsidP="00243BA4">
            <w:pPr>
              <w:spacing w:line="276" w:lineRule="auto"/>
              <w:rPr>
                <w:rFonts w:ascii="Times New Roman" w:hAnsi="Times New Roman" w:cs="Times New Roman"/>
                <w:b/>
              </w:rPr>
            </w:pPr>
          </w:p>
        </w:tc>
        <w:tc>
          <w:tcPr>
            <w:tcW w:w="1710" w:type="dxa"/>
          </w:tcPr>
          <w:p w:rsidR="00C1352C" w:rsidRPr="00A8276A" w:rsidRDefault="00C1352C" w:rsidP="00243BA4">
            <w:pPr>
              <w:spacing w:line="276" w:lineRule="auto"/>
              <w:jc w:val="both"/>
              <w:rPr>
                <w:rFonts w:ascii="Times New Roman" w:hAnsi="Times New Roman" w:cs="Times New Roman"/>
                <w:b/>
              </w:rPr>
            </w:pPr>
          </w:p>
        </w:tc>
        <w:tc>
          <w:tcPr>
            <w:tcW w:w="153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502F73">
            <w:pPr>
              <w:spacing w:line="276" w:lineRule="auto"/>
              <w:jc w:val="center"/>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B5591E" w:rsidRDefault="00B5591E" w:rsidP="00C1352C">
      <w:pPr>
        <w:rPr>
          <w:rFonts w:ascii="Times New Roman" w:eastAsia="?????? Pro W3" w:hAnsi="Times New Roman" w:cs="Times New Roman"/>
          <w:b/>
          <w:sz w:val="24"/>
          <w:szCs w:val="24"/>
          <w:lang w:val="sq-AL"/>
        </w:rPr>
      </w:pPr>
    </w:p>
    <w:p w:rsidR="00B5591E" w:rsidRDefault="00B5591E" w:rsidP="00C1352C">
      <w:pPr>
        <w:rPr>
          <w:rFonts w:ascii="Times New Roman" w:eastAsia="?????? Pro W3" w:hAnsi="Times New Roman" w:cs="Times New Roman"/>
          <w:b/>
          <w:sz w:val="24"/>
          <w:szCs w:val="24"/>
          <w:lang w:val="sq-AL"/>
        </w:rPr>
      </w:pPr>
    </w:p>
    <w:p w:rsidR="00B5591E" w:rsidRDefault="00B5591E" w:rsidP="00B5591E">
      <w:pPr>
        <w:spacing w:line="276" w:lineRule="auto"/>
        <w:jc w:val="both"/>
        <w:rPr>
          <w:rFonts w:ascii="Times New Roman" w:hAnsi="Times New Roman" w:cs="Times New Roman"/>
          <w:sz w:val="24"/>
          <w:szCs w:val="24"/>
        </w:rPr>
      </w:pPr>
    </w:p>
    <w:p w:rsidR="00B5591E" w:rsidRDefault="00B5591E" w:rsidP="00B5591E">
      <w:pPr>
        <w:ind w:firstLine="720"/>
        <w:rPr>
          <w:rFonts w:ascii="Times New Roman" w:hAnsi="Times New Roman" w:cs="Times New Roman"/>
          <w:sz w:val="24"/>
          <w:szCs w:val="24"/>
        </w:rPr>
      </w:pPr>
    </w:p>
    <w:p w:rsidR="00B5591E" w:rsidRDefault="00B5591E" w:rsidP="00B5591E">
      <w:pPr>
        <w:rPr>
          <w:rFonts w:ascii="Times New Roman" w:hAnsi="Times New Roman" w:cs="Times New Roman"/>
          <w:sz w:val="24"/>
          <w:szCs w:val="24"/>
        </w:rPr>
      </w:pPr>
    </w:p>
    <w:p w:rsidR="00B5591E" w:rsidRPr="00B5591E" w:rsidRDefault="00B5591E" w:rsidP="00B5591E">
      <w:pPr>
        <w:rPr>
          <w:rFonts w:ascii="Times New Roman" w:hAnsi="Times New Roman" w:cs="Times New Roman"/>
          <w:sz w:val="24"/>
          <w:szCs w:val="24"/>
        </w:rPr>
        <w:sectPr w:rsidR="00B5591E" w:rsidRPr="00B5591E" w:rsidSect="007F3BC7">
          <w:footerReference w:type="default" r:id="rId7"/>
          <w:pgSz w:w="11907" w:h="16839" w:code="9"/>
          <w:pgMar w:top="1440" w:right="1440" w:bottom="990" w:left="1440" w:header="720" w:footer="571" w:gutter="0"/>
          <w:cols w:space="720"/>
          <w:docGrid w:linePitch="360"/>
        </w:sectPr>
      </w:pPr>
    </w:p>
    <w:p w:rsidR="00C1352C" w:rsidRPr="005609D9" w:rsidRDefault="00C1352C" w:rsidP="00197492">
      <w:pPr>
        <w:rPr>
          <w:rFonts w:ascii="Times New Roman" w:eastAsia="?????? Pro W3" w:hAnsi="Times New Roman" w:cs="Times New Roman"/>
          <w:b/>
          <w:szCs w:val="24"/>
          <w:lang w:val="sq-AL"/>
        </w:rPr>
      </w:pPr>
      <w:r w:rsidRPr="005609D9">
        <w:rPr>
          <w:rFonts w:ascii="Times New Roman" w:hAnsi="Times New Roman" w:cs="Times New Roman"/>
          <w:b/>
          <w:sz w:val="24"/>
          <w:szCs w:val="28"/>
          <w:u w:val="single"/>
        </w:rPr>
        <w:t xml:space="preserve">Përfundime të Vlerësimit të programit të studimit </w:t>
      </w:r>
      <w:r w:rsidR="00CB3180" w:rsidRPr="005609D9">
        <w:rPr>
          <w:rFonts w:ascii="Times New Roman" w:hAnsi="Times New Roman" w:cs="Times New Roman"/>
          <w:b/>
          <w:sz w:val="24"/>
          <w:szCs w:val="28"/>
          <w:u w:val="single"/>
        </w:rPr>
        <w:t>të ciklit të Tre</w:t>
      </w:r>
      <w:r w:rsidRPr="005609D9">
        <w:rPr>
          <w:rFonts w:ascii="Times New Roman" w:hAnsi="Times New Roman" w:cs="Times New Roman"/>
          <w:b/>
          <w:sz w:val="24"/>
          <w:szCs w:val="28"/>
          <w:u w:val="single"/>
        </w:rPr>
        <w:t xml:space="preserve">të </w:t>
      </w:r>
      <w:r w:rsidR="00CB3180" w:rsidRPr="005609D9">
        <w:rPr>
          <w:rFonts w:ascii="Times New Roman" w:hAnsi="Times New Roman" w:cs="Times New Roman"/>
          <w:b/>
          <w:color w:val="FF0000"/>
          <w:sz w:val="24"/>
          <w:szCs w:val="28"/>
          <w:u w:val="single"/>
        </w:rPr>
        <w:t>Studime Afatgjata në</w:t>
      </w:r>
      <w:r w:rsidR="0025138E" w:rsidRPr="005609D9">
        <w:rPr>
          <w:rFonts w:ascii="Times New Roman" w:hAnsi="Times New Roman" w:cs="Times New Roman"/>
          <w:b/>
          <w:color w:val="FF0000"/>
          <w:sz w:val="24"/>
          <w:szCs w:val="28"/>
          <w:u w:val="single"/>
        </w:rPr>
        <w:t xml:space="preserve"> “.......” </w:t>
      </w:r>
    </w:p>
    <w:p w:rsidR="00C1352C" w:rsidRPr="005609D9" w:rsidRDefault="00C1352C" w:rsidP="006A4485">
      <w:pPr>
        <w:jc w:val="both"/>
        <w:rPr>
          <w:rFonts w:ascii="Times New Roman" w:hAnsi="Times New Roman" w:cs="Times New Roman"/>
          <w:b/>
          <w:szCs w:val="24"/>
        </w:rPr>
      </w:pPr>
    </w:p>
    <w:p w:rsidR="00C1352C" w:rsidRPr="005609D9" w:rsidRDefault="00C1352C" w:rsidP="00F86208">
      <w:pPr>
        <w:spacing w:after="120" w:line="276" w:lineRule="auto"/>
        <w:jc w:val="both"/>
        <w:rPr>
          <w:rFonts w:ascii="Times New Roman" w:hAnsi="Times New Roman" w:cs="Times New Roman"/>
          <w:b/>
          <w:szCs w:val="26"/>
        </w:rPr>
      </w:pPr>
      <w:r w:rsidRPr="005609D9">
        <w:rPr>
          <w:rFonts w:ascii="Times New Roman" w:hAnsi="Times New Roman" w:cs="Times New Roman"/>
          <w:b/>
          <w:szCs w:val="26"/>
        </w:rPr>
        <w:t>Pikat e forta dhe afirmime</w:t>
      </w:r>
    </w:p>
    <w:p w:rsidR="00C1352C" w:rsidRPr="005609D9"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C1352C" w:rsidRPr="005609D9"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5609D9" w:rsidRDefault="00C1352C" w:rsidP="00F86208">
      <w:pPr>
        <w:spacing w:after="120" w:line="276" w:lineRule="auto"/>
        <w:jc w:val="both"/>
        <w:rPr>
          <w:rFonts w:ascii="Times New Roman" w:hAnsi="Times New Roman" w:cs="Times New Roman"/>
          <w:b/>
          <w:szCs w:val="26"/>
        </w:rPr>
      </w:pPr>
      <w:r w:rsidRPr="005609D9">
        <w:rPr>
          <w:rFonts w:ascii="Times New Roman" w:hAnsi="Times New Roman" w:cs="Times New Roman"/>
          <w:b/>
          <w:szCs w:val="26"/>
        </w:rPr>
        <w:t>Pika të dobta</w:t>
      </w:r>
    </w:p>
    <w:p w:rsidR="00C1352C" w:rsidRPr="005609D9"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C1352C" w:rsidRPr="005609D9"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5609D9" w:rsidRDefault="00C1352C" w:rsidP="00F86208">
      <w:pPr>
        <w:spacing w:after="120" w:line="276" w:lineRule="auto"/>
        <w:jc w:val="both"/>
        <w:rPr>
          <w:rFonts w:ascii="Times New Roman" w:hAnsi="Times New Roman" w:cs="Times New Roman"/>
          <w:b/>
          <w:szCs w:val="26"/>
        </w:rPr>
      </w:pPr>
      <w:r w:rsidRPr="005609D9">
        <w:rPr>
          <w:rFonts w:ascii="Times New Roman" w:hAnsi="Times New Roman" w:cs="Times New Roman"/>
          <w:b/>
          <w:szCs w:val="26"/>
        </w:rPr>
        <w:t>Rekomandime</w:t>
      </w:r>
    </w:p>
    <w:p w:rsidR="00C1352C" w:rsidRPr="005609D9"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F86208" w:rsidRPr="005609D9"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F86208" w:rsidRPr="005609D9"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C1352C" w:rsidRPr="005609D9" w:rsidRDefault="00C1352C" w:rsidP="00C1352C">
      <w:pPr>
        <w:pStyle w:val="ListParagraph"/>
        <w:ind w:left="360" w:hanging="360"/>
        <w:jc w:val="both"/>
        <w:rPr>
          <w:rFonts w:ascii="Times New Roman" w:hAnsi="Times New Roman" w:cs="Times New Roman"/>
          <w:b/>
          <w:sz w:val="20"/>
          <w:szCs w:val="24"/>
        </w:rPr>
      </w:pPr>
    </w:p>
    <w:p w:rsidR="00C51FD0" w:rsidRPr="005609D9" w:rsidRDefault="00C51FD0" w:rsidP="00F86208">
      <w:pPr>
        <w:jc w:val="both"/>
        <w:rPr>
          <w:rFonts w:ascii="Times New Roman" w:hAnsi="Times New Roman" w:cs="Times New Roman"/>
          <w:b/>
          <w:szCs w:val="26"/>
        </w:rPr>
      </w:pPr>
    </w:p>
    <w:p w:rsidR="00AF2A6C" w:rsidRPr="005609D9"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5609D9">
        <w:rPr>
          <w:rFonts w:ascii="Times New Roman" w:hAnsi="Times New Roman"/>
          <w:b/>
          <w:sz w:val="24"/>
          <w:szCs w:val="28"/>
          <w:u w:val="single"/>
        </w:rPr>
        <w:t>E</w:t>
      </w:r>
      <w:r w:rsidR="00D72D8F" w:rsidRPr="005609D9">
        <w:rPr>
          <w:rFonts w:ascii="Times New Roman" w:hAnsi="Times New Roman"/>
          <w:b/>
          <w:sz w:val="24"/>
          <w:szCs w:val="28"/>
          <w:u w:val="single"/>
        </w:rPr>
        <w:t>valuation’s conclusions for</w:t>
      </w:r>
      <w:r w:rsidR="00CB3180" w:rsidRPr="005609D9">
        <w:rPr>
          <w:rFonts w:ascii="Times New Roman" w:hAnsi="Times New Roman"/>
          <w:b/>
          <w:sz w:val="24"/>
          <w:szCs w:val="28"/>
          <w:u w:val="single"/>
        </w:rPr>
        <w:t xml:space="preserve"> the Third Cycle </w:t>
      </w:r>
      <w:r w:rsidR="00CB3180" w:rsidRPr="005609D9">
        <w:rPr>
          <w:rFonts w:ascii="Times New Roman" w:hAnsi="Times New Roman"/>
          <w:b/>
          <w:color w:val="FF0000"/>
          <w:sz w:val="24"/>
          <w:szCs w:val="28"/>
          <w:u w:val="single"/>
        </w:rPr>
        <w:t xml:space="preserve">Long-Term Studies </w:t>
      </w:r>
      <w:r w:rsidR="00CB3180" w:rsidRPr="005609D9">
        <w:rPr>
          <w:rFonts w:ascii="Times New Roman" w:hAnsi="Times New Roman"/>
          <w:b/>
          <w:sz w:val="24"/>
          <w:szCs w:val="28"/>
          <w:u w:val="single"/>
        </w:rPr>
        <w:t xml:space="preserve">in “.......” </w:t>
      </w:r>
      <w:r w:rsidRPr="005609D9">
        <w:rPr>
          <w:rFonts w:ascii="Times New Roman" w:hAnsi="Times New Roman"/>
          <w:b/>
          <w:color w:val="FF0000"/>
          <w:sz w:val="24"/>
          <w:szCs w:val="28"/>
          <w:u w:val="single"/>
        </w:rPr>
        <w:t xml:space="preserve">“.......” </w:t>
      </w:r>
    </w:p>
    <w:p w:rsidR="00AF2A6C" w:rsidRPr="005609D9" w:rsidRDefault="00AF2A6C" w:rsidP="00F86208">
      <w:pPr>
        <w:jc w:val="both"/>
        <w:rPr>
          <w:rFonts w:ascii="Times New Roman" w:hAnsi="Times New Roman" w:cs="Times New Roman"/>
          <w:b/>
          <w:szCs w:val="26"/>
        </w:rPr>
      </w:pPr>
    </w:p>
    <w:p w:rsidR="00E8239C" w:rsidRPr="005609D9" w:rsidRDefault="00E8239C" w:rsidP="00E8239C">
      <w:pPr>
        <w:spacing w:after="120" w:line="276" w:lineRule="auto"/>
        <w:jc w:val="both"/>
        <w:rPr>
          <w:rFonts w:ascii="Times New Roman" w:hAnsi="Times New Roman"/>
          <w:b/>
          <w:szCs w:val="24"/>
        </w:rPr>
      </w:pPr>
      <w:r w:rsidRPr="005609D9">
        <w:rPr>
          <w:rFonts w:ascii="Times New Roman" w:hAnsi="Times New Roman"/>
          <w:b/>
          <w:szCs w:val="24"/>
        </w:rPr>
        <w:t>Strengths and affirmations</w:t>
      </w:r>
    </w:p>
    <w:p w:rsidR="00E8239C" w:rsidRPr="005609D9"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5609D9"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5609D9"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r w:rsidRPr="005609D9">
        <w:rPr>
          <w:rFonts w:ascii="Times New Roman" w:hAnsi="Times New Roman"/>
          <w:b/>
          <w:szCs w:val="24"/>
        </w:rPr>
        <w:t>Weaknesses</w:t>
      </w:r>
    </w:p>
    <w:p w:rsidR="00E8239C" w:rsidRPr="005609D9"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r w:rsidRPr="005609D9">
        <w:rPr>
          <w:rFonts w:ascii="Times New Roman" w:hAnsi="Times New Roman"/>
          <w:b/>
          <w:szCs w:val="24"/>
        </w:rPr>
        <w:t>Recommendation</w:t>
      </w:r>
    </w:p>
    <w:p w:rsidR="00E8239C" w:rsidRPr="005609D9"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C51FD0" w:rsidRPr="005609D9" w:rsidRDefault="00C51FD0" w:rsidP="00F86208">
      <w:pPr>
        <w:jc w:val="both"/>
        <w:rPr>
          <w:rFonts w:ascii="Times New Roman" w:hAnsi="Times New Roman" w:cs="Times New Roman"/>
          <w:b/>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Default="00E8239C" w:rsidP="00F86208">
      <w:pPr>
        <w:jc w:val="both"/>
        <w:rPr>
          <w:rFonts w:ascii="Times New Roman" w:hAnsi="Times New Roman" w:cs="Times New Roman"/>
          <w:b/>
          <w:sz w:val="24"/>
          <w:szCs w:val="26"/>
        </w:rPr>
      </w:pPr>
    </w:p>
    <w:p w:rsidR="005609D9" w:rsidRDefault="005609D9" w:rsidP="00F86208">
      <w:pPr>
        <w:jc w:val="both"/>
        <w:rPr>
          <w:rFonts w:ascii="Times New Roman" w:hAnsi="Times New Roman" w:cs="Times New Roman"/>
          <w:b/>
          <w:sz w:val="24"/>
          <w:szCs w:val="26"/>
        </w:rPr>
      </w:pPr>
    </w:p>
    <w:p w:rsidR="005609D9" w:rsidRDefault="005609D9" w:rsidP="00F86208">
      <w:pPr>
        <w:jc w:val="both"/>
        <w:rPr>
          <w:rFonts w:ascii="Times New Roman" w:hAnsi="Times New Roman" w:cs="Times New Roman"/>
          <w:b/>
          <w:sz w:val="24"/>
          <w:szCs w:val="26"/>
        </w:rPr>
      </w:pPr>
    </w:p>
    <w:p w:rsidR="005609D9" w:rsidRPr="005609D9" w:rsidRDefault="005609D9"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72D8F" w:rsidRDefault="00D72D8F" w:rsidP="00F86208">
      <w:pPr>
        <w:jc w:val="both"/>
        <w:rPr>
          <w:rFonts w:ascii="Times New Roman" w:hAnsi="Times New Roman" w:cs="Times New Roman"/>
          <w:b/>
          <w:sz w:val="24"/>
          <w:szCs w:val="26"/>
        </w:rPr>
      </w:pPr>
    </w:p>
    <w:p w:rsidR="004A435D" w:rsidRPr="005609D9" w:rsidRDefault="004A435D" w:rsidP="00F86208">
      <w:pPr>
        <w:jc w:val="both"/>
        <w:rPr>
          <w:rFonts w:ascii="Times New Roman" w:hAnsi="Times New Roman" w:cs="Times New Roman"/>
          <w:b/>
          <w:sz w:val="24"/>
          <w:szCs w:val="26"/>
        </w:rPr>
      </w:pPr>
    </w:p>
    <w:p w:rsidR="00C1352C" w:rsidRPr="00F86208" w:rsidRDefault="00C1352C" w:rsidP="00F86208">
      <w:pPr>
        <w:jc w:val="both"/>
        <w:rPr>
          <w:rFonts w:ascii="Times New Roman" w:hAnsi="Times New Roman" w:cs="Times New Roman"/>
          <w:b/>
          <w:sz w:val="26"/>
          <w:szCs w:val="26"/>
        </w:rPr>
      </w:pPr>
      <w:r w:rsidRPr="00F86208">
        <w:rPr>
          <w:rFonts w:ascii="Times New Roman" w:hAnsi="Times New Roman" w:cs="Times New Roman"/>
          <w:b/>
          <w:sz w:val="26"/>
          <w:szCs w:val="26"/>
        </w:rPr>
        <w:t>Shkalla e përmbushjes së standardeve të cilësisë së programit</w:t>
      </w:r>
    </w:p>
    <w:tbl>
      <w:tblPr>
        <w:tblStyle w:val="TableGrid"/>
        <w:tblW w:w="9445" w:type="dxa"/>
        <w:tblLook w:val="04A0" w:firstRow="1" w:lastRow="0" w:firstColumn="1" w:lastColumn="0" w:noHBand="0" w:noVBand="1"/>
      </w:tblPr>
      <w:tblGrid>
        <w:gridCol w:w="2937"/>
        <w:gridCol w:w="1497"/>
        <w:gridCol w:w="1569"/>
        <w:gridCol w:w="1569"/>
        <w:gridCol w:w="1873"/>
      </w:tblGrid>
      <w:tr w:rsidR="00C1352C" w:rsidTr="00F86208">
        <w:trPr>
          <w:trHeight w:val="465"/>
        </w:trPr>
        <w:tc>
          <w:tcPr>
            <w:tcW w:w="2965" w:type="dxa"/>
            <w:vMerge w:val="restart"/>
            <w:shd w:val="clear" w:color="auto" w:fill="F4B083" w:themeFill="accent2" w:themeFillTint="99"/>
          </w:tcPr>
          <w:p w:rsidR="00C1352C" w:rsidRPr="006A0202" w:rsidRDefault="00C1352C" w:rsidP="00243BA4">
            <w:pPr>
              <w:jc w:val="center"/>
              <w:rPr>
                <w:rFonts w:ascii="Times New Roman" w:hAnsi="Times New Roman" w:cs="Times New Roman"/>
                <w:b/>
                <w:sz w:val="24"/>
                <w:szCs w:val="24"/>
              </w:rPr>
            </w:pPr>
            <w:r w:rsidRPr="006A0202">
              <w:rPr>
                <w:rFonts w:ascii="Times New Roman" w:hAnsi="Times New Roman" w:cs="Times New Roman"/>
                <w:b/>
                <w:sz w:val="24"/>
                <w:szCs w:val="24"/>
              </w:rPr>
              <w:t>FUSHAT E VLER</w:t>
            </w:r>
            <w:r>
              <w:rPr>
                <w:rFonts w:ascii="Times New Roman" w:hAnsi="Times New Roman" w:cs="Times New Roman"/>
                <w:b/>
                <w:sz w:val="24"/>
                <w:szCs w:val="24"/>
              </w:rPr>
              <w:t>Ë</w:t>
            </w:r>
            <w:r w:rsidRPr="006A0202">
              <w:rPr>
                <w:rFonts w:ascii="Times New Roman" w:hAnsi="Times New Roman" w:cs="Times New Roman"/>
                <w:b/>
                <w:sz w:val="24"/>
                <w:szCs w:val="24"/>
              </w:rPr>
              <w:t>SIMIT</w:t>
            </w:r>
          </w:p>
        </w:tc>
        <w:tc>
          <w:tcPr>
            <w:tcW w:w="6480" w:type="dxa"/>
            <w:gridSpan w:val="4"/>
            <w:shd w:val="clear" w:color="auto" w:fill="FBE4D5" w:themeFill="accent2" w:themeFillTint="33"/>
          </w:tcPr>
          <w:p w:rsidR="00C1352C" w:rsidRPr="009C551A" w:rsidRDefault="00C1352C" w:rsidP="00243BA4">
            <w:pPr>
              <w:rPr>
                <w:rFonts w:ascii="Times New Roman" w:hAnsi="Times New Roman" w:cs="Times New Roman"/>
                <w:b/>
              </w:rPr>
            </w:pPr>
            <w:r w:rsidRPr="009C551A">
              <w:rPr>
                <w:rFonts w:ascii="Times New Roman" w:hAnsi="Times New Roman" w:cs="Times New Roman"/>
                <w:b/>
              </w:rPr>
              <w:t>SHKALLA E PËRMBUSHJES SË STANDARDEVE TË FUSHËS</w:t>
            </w:r>
          </w:p>
        </w:tc>
      </w:tr>
      <w:tr w:rsidR="00C1352C" w:rsidTr="00243BA4">
        <w:tc>
          <w:tcPr>
            <w:tcW w:w="2965" w:type="dxa"/>
            <w:vMerge/>
            <w:shd w:val="clear" w:color="auto" w:fill="F4B083" w:themeFill="accent2" w:themeFillTint="99"/>
          </w:tcPr>
          <w:p w:rsidR="00C1352C" w:rsidRDefault="00C1352C" w:rsidP="00243BA4">
            <w:pPr>
              <w:rPr>
                <w:rFonts w:ascii="Times New Roman" w:hAnsi="Times New Roman" w:cs="Times New Roman"/>
                <w:b/>
                <w:sz w:val="28"/>
                <w:szCs w:val="28"/>
              </w:rPr>
            </w:pPr>
          </w:p>
        </w:tc>
        <w:tc>
          <w:tcPr>
            <w:tcW w:w="1406" w:type="dxa"/>
            <w:shd w:val="clear" w:color="auto" w:fill="FF00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Nuk p</w:t>
            </w:r>
            <w:r>
              <w:rPr>
                <w:rFonts w:ascii="Times New Roman" w:hAnsi="Times New Roman" w:cs="Times New Roman"/>
                <w:b/>
                <w:sz w:val="24"/>
                <w:szCs w:val="24"/>
              </w:rPr>
              <w:t>ë</w:t>
            </w:r>
            <w:r w:rsidRPr="00F66674">
              <w:rPr>
                <w:rFonts w:ascii="Times New Roman" w:hAnsi="Times New Roman" w:cs="Times New Roman"/>
                <w:b/>
                <w:sz w:val="24"/>
                <w:szCs w:val="24"/>
              </w:rPr>
              <w:t>rmbushen</w:t>
            </w:r>
          </w:p>
        </w:tc>
        <w:tc>
          <w:tcPr>
            <w:tcW w:w="1577" w:type="dxa"/>
            <w:shd w:val="clear" w:color="auto" w:fill="FF66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pjes</w:t>
            </w:r>
            <w:r>
              <w:rPr>
                <w:rFonts w:ascii="Times New Roman" w:hAnsi="Times New Roman" w:cs="Times New Roman"/>
                <w:b/>
                <w:sz w:val="24"/>
                <w:szCs w:val="24"/>
              </w:rPr>
              <w:t>ë</w:t>
            </w:r>
            <w:r w:rsidRPr="00F66674">
              <w:rPr>
                <w:rFonts w:ascii="Times New Roman" w:hAnsi="Times New Roman" w:cs="Times New Roman"/>
                <w:b/>
                <w:sz w:val="24"/>
                <w:szCs w:val="24"/>
              </w:rPr>
              <w:t>risht</w:t>
            </w:r>
          </w:p>
        </w:tc>
        <w:tc>
          <w:tcPr>
            <w:tcW w:w="1577" w:type="dxa"/>
            <w:shd w:val="clear" w:color="auto" w:fill="CCCC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kryesisht</w:t>
            </w:r>
          </w:p>
        </w:tc>
        <w:tc>
          <w:tcPr>
            <w:tcW w:w="1920" w:type="dxa"/>
            <w:shd w:val="clear" w:color="auto" w:fill="92D05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plot</w:t>
            </w:r>
            <w:r>
              <w:rPr>
                <w:rFonts w:ascii="Times New Roman" w:hAnsi="Times New Roman" w:cs="Times New Roman"/>
                <w:b/>
                <w:sz w:val="24"/>
                <w:szCs w:val="24"/>
              </w:rPr>
              <w:t>ë</w:t>
            </w:r>
            <w:r w:rsidRPr="00F66674">
              <w:rPr>
                <w:rFonts w:ascii="Times New Roman" w:hAnsi="Times New Roman" w:cs="Times New Roman"/>
                <w:b/>
                <w:sz w:val="24"/>
                <w:szCs w:val="24"/>
              </w:rPr>
              <w:t>sisht</w:t>
            </w:r>
          </w:p>
        </w:tc>
      </w:tr>
      <w:tr w:rsidR="00C1352C" w:rsidTr="00243BA4">
        <w:tc>
          <w:tcPr>
            <w:tcW w:w="2965" w:type="dxa"/>
            <w:shd w:val="clear" w:color="auto" w:fill="FBE4D5" w:themeFill="accent2" w:themeFillTint="33"/>
          </w:tcPr>
          <w:p w:rsidR="00C1352C" w:rsidRPr="00D72D8F" w:rsidRDefault="00D72D8F" w:rsidP="00D72D8F">
            <w:pPr>
              <w:pStyle w:val="ListParagraph"/>
              <w:numPr>
                <w:ilvl w:val="0"/>
                <w:numId w:val="4"/>
              </w:numPr>
              <w:ind w:left="426" w:hanging="360"/>
              <w:rPr>
                <w:rFonts w:ascii="Times New Roman" w:eastAsia="Times New Roman" w:hAnsi="Times New Roman" w:cs="Times New Roman"/>
                <w:b/>
                <w:bCs/>
                <w:lang w:val="sq-AL"/>
              </w:rPr>
            </w:pPr>
            <w:r w:rsidRPr="00D72D8F">
              <w:rPr>
                <w:rFonts w:ascii="Times New Roman" w:eastAsia="Times New Roman" w:hAnsi="Times New Roman" w:cs="Times New Roman"/>
                <w:b/>
                <w:bCs/>
                <w:lang w:val="sq-AL"/>
              </w:rPr>
              <w:t>KUADRI I PËRGJITHSHËM I PROGRAMIT SPECIALIZIM AFATGJATË</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D72D8F" w:rsidRDefault="00D72D8F" w:rsidP="00D72D8F">
            <w:pPr>
              <w:pStyle w:val="ListParagraph"/>
              <w:numPr>
                <w:ilvl w:val="0"/>
                <w:numId w:val="4"/>
              </w:numPr>
              <w:ind w:left="426" w:hanging="360"/>
              <w:rPr>
                <w:rFonts w:ascii="Times New Roman" w:eastAsia="?????? Pro W3" w:hAnsi="Times New Roman" w:cs="Times New Roman"/>
                <w:b/>
                <w:bCs/>
                <w:color w:val="000000"/>
                <w:lang w:val="sq-AL"/>
              </w:rPr>
            </w:pPr>
            <w:r w:rsidRPr="00D72D8F">
              <w:rPr>
                <w:rFonts w:ascii="Times New Roman" w:eastAsia="?????? Pro W3" w:hAnsi="Times New Roman" w:cs="Times New Roman"/>
                <w:b/>
                <w:bCs/>
                <w:color w:val="000000"/>
                <w:lang w:val="sq-AL"/>
              </w:rPr>
              <w:t>ORGANIZIMI, STRUKTURA DHE ADMINISTRIMI I PROGRAMIT</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D72D8F" w:rsidP="00D72D8F">
            <w:pPr>
              <w:pStyle w:val="ListParagraph"/>
              <w:numPr>
                <w:ilvl w:val="0"/>
                <w:numId w:val="4"/>
              </w:numPr>
              <w:spacing w:line="276" w:lineRule="auto"/>
              <w:ind w:left="426" w:hanging="360"/>
              <w:rPr>
                <w:rFonts w:ascii="Baskerville Old Face" w:hAnsi="Baskerville Old Face"/>
                <w:b/>
              </w:rPr>
            </w:pPr>
            <w:r w:rsidRPr="00D72D8F">
              <w:rPr>
                <w:rFonts w:ascii="Times New Roman" w:hAnsi="Times New Roman" w:cs="Times New Roman"/>
                <w:b/>
                <w:lang w:val="sq-AL"/>
              </w:rPr>
              <w:t>BURIMET NË FUNKSION TË PROGRAMIT SPECIALIZIM AFATGJATË</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D72D8F" w:rsidP="00D72D8F">
            <w:pPr>
              <w:pStyle w:val="ListParagraph"/>
              <w:numPr>
                <w:ilvl w:val="0"/>
                <w:numId w:val="4"/>
              </w:numPr>
              <w:ind w:left="426" w:hanging="360"/>
              <w:rPr>
                <w:rFonts w:ascii="Times New Roman" w:hAnsi="Times New Roman" w:cs="Times New Roman"/>
                <w:b/>
              </w:rPr>
            </w:pPr>
            <w:r w:rsidRPr="00D72D8F">
              <w:rPr>
                <w:rFonts w:ascii="Times New Roman" w:eastAsia="Times New Roman" w:hAnsi="Times New Roman" w:cs="Times New Roman"/>
                <w:b/>
                <w:bCs/>
                <w:color w:val="000000" w:themeColor="text1"/>
                <w:lang w:val="sq-AL"/>
              </w:rPr>
              <w:t>KËRKIMI DHE EKSPERIENCA KLINIKE /DIAGNOSTIKUESE</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4876A1" w:rsidRDefault="00D72D8F" w:rsidP="00F86208">
            <w:pPr>
              <w:pStyle w:val="ListParagraph"/>
              <w:numPr>
                <w:ilvl w:val="0"/>
                <w:numId w:val="4"/>
              </w:numPr>
              <w:spacing w:line="276" w:lineRule="auto"/>
              <w:ind w:left="426" w:hanging="360"/>
              <w:rPr>
                <w:rFonts w:ascii="Baskerville Old Face" w:hAnsi="Baskerville Old Face"/>
                <w:b/>
              </w:rPr>
            </w:pPr>
            <w:r>
              <w:rPr>
                <w:rFonts w:ascii="Times New Roman" w:eastAsia="Times New Roman" w:hAnsi="Times New Roman" w:cs="Times New Roman"/>
                <w:b/>
                <w:lang w:val="sq-AL"/>
              </w:rPr>
              <w:t xml:space="preserve">STUDENTËT </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243BA4">
        <w:tc>
          <w:tcPr>
            <w:tcW w:w="2965" w:type="dxa"/>
            <w:shd w:val="clear" w:color="auto" w:fill="FBE4D5" w:themeFill="accent2" w:themeFillTint="33"/>
          </w:tcPr>
          <w:p w:rsidR="00C1352C" w:rsidRPr="00D72D8F" w:rsidRDefault="00D72D8F" w:rsidP="00D72D8F">
            <w:pPr>
              <w:pStyle w:val="ListParagraph"/>
              <w:numPr>
                <w:ilvl w:val="0"/>
                <w:numId w:val="4"/>
              </w:numPr>
              <w:ind w:left="426" w:hanging="360"/>
              <w:rPr>
                <w:rFonts w:ascii="Times New Roman" w:eastAsia="Times New Roman" w:hAnsi="Times New Roman" w:cs="Times New Roman"/>
                <w:b/>
                <w:bCs/>
                <w:lang w:val="sq-AL"/>
              </w:rPr>
            </w:pPr>
            <w:r w:rsidRPr="00D72D8F">
              <w:rPr>
                <w:rFonts w:ascii="Times New Roman" w:eastAsia="Times New Roman" w:hAnsi="Times New Roman" w:cs="Times New Roman"/>
                <w:b/>
                <w:bCs/>
                <w:lang w:val="sq-AL"/>
              </w:rPr>
              <w:t>SIGURIMI I CILËSISË NË PROGRAMIN E SPECIALIZIMIT AFATGJATË</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r w:rsidR="00C1352C" w:rsidTr="00CF7571">
        <w:trPr>
          <w:trHeight w:val="368"/>
        </w:trPr>
        <w:tc>
          <w:tcPr>
            <w:tcW w:w="2965" w:type="dxa"/>
            <w:shd w:val="clear" w:color="auto" w:fill="F4B083" w:themeFill="accent2" w:themeFillTint="99"/>
          </w:tcPr>
          <w:p w:rsidR="00C1352C" w:rsidRPr="00F66674" w:rsidRDefault="00C1352C" w:rsidP="00243BA4">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VLERËSIMI TËRËSOR</w:t>
            </w:r>
          </w:p>
        </w:tc>
        <w:tc>
          <w:tcPr>
            <w:tcW w:w="1406"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577" w:type="dxa"/>
          </w:tcPr>
          <w:p w:rsidR="00C1352C" w:rsidRDefault="00C1352C" w:rsidP="00243BA4">
            <w:pPr>
              <w:rPr>
                <w:rFonts w:ascii="Times New Roman" w:hAnsi="Times New Roman" w:cs="Times New Roman"/>
                <w:b/>
                <w:sz w:val="28"/>
                <w:szCs w:val="28"/>
              </w:rPr>
            </w:pPr>
          </w:p>
        </w:tc>
        <w:tc>
          <w:tcPr>
            <w:tcW w:w="1920" w:type="dxa"/>
          </w:tcPr>
          <w:p w:rsidR="00C1352C" w:rsidRDefault="00C1352C" w:rsidP="00243BA4">
            <w:pPr>
              <w:rPr>
                <w:rFonts w:ascii="Times New Roman" w:hAnsi="Times New Roman" w:cs="Times New Roman"/>
                <w:b/>
                <w:sz w:val="28"/>
                <w:szCs w:val="28"/>
              </w:rPr>
            </w:pPr>
          </w:p>
        </w:tc>
      </w:tr>
    </w:tbl>
    <w:p w:rsidR="001173E2" w:rsidRDefault="001173E2"/>
    <w:p w:rsidR="003F61A0" w:rsidRDefault="003F61A0"/>
    <w:p w:rsidR="003F61A0" w:rsidRDefault="003F61A0"/>
    <w:p w:rsidR="003F61A0" w:rsidRDefault="003F61A0"/>
    <w:p w:rsidR="003F61A0" w:rsidRDefault="003F61A0"/>
    <w:p w:rsidR="003F61A0" w:rsidRDefault="003F61A0"/>
    <w:p w:rsidR="003F61A0" w:rsidRDefault="003F61A0"/>
    <w:p w:rsidR="003F61A0" w:rsidRDefault="003F61A0"/>
    <w:p w:rsidR="003F61A0" w:rsidRDefault="003F61A0"/>
    <w:p w:rsidR="00FA5847" w:rsidRDefault="00FA5847"/>
    <w:p w:rsidR="00FA5847" w:rsidRDefault="00FA5847"/>
    <w:p w:rsidR="00FA5847" w:rsidRDefault="00FA5847"/>
    <w:p w:rsidR="00FA5847" w:rsidRDefault="00FA5847"/>
    <w:p w:rsidR="00FA5847" w:rsidRPr="00F36BA9" w:rsidRDefault="00FA5847" w:rsidP="00FA5847">
      <w:pPr>
        <w:spacing w:after="120" w:line="276" w:lineRule="auto"/>
        <w:ind w:left="357"/>
        <w:jc w:val="both"/>
        <w:rPr>
          <w:rFonts w:ascii="Times New Roman" w:eastAsia="Calibri" w:hAnsi="Times New Roman" w:cs="Times New Roman"/>
          <w:b/>
          <w:color w:val="000000"/>
          <w:sz w:val="24"/>
          <w:szCs w:val="24"/>
          <w:lang w:val="en-GB"/>
        </w:rPr>
      </w:pPr>
      <w:r w:rsidRPr="00F36BA9">
        <w:rPr>
          <w:rFonts w:ascii="Times New Roman" w:eastAsia="Calibri" w:hAnsi="Times New Roman" w:cs="Times New Roman"/>
          <w:b/>
          <w:color w:val="000000"/>
          <w:sz w:val="24"/>
          <w:szCs w:val="24"/>
          <w:lang w:val="en-GB"/>
        </w:rPr>
        <w:t>Lista e dokumenteve bazë për procesin e akreditimit të programeve të studimit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Lista e mëposhtme është dokumentacioni i detyrueshëm që institucionet duhet të dorëzojnë së bashku me RVB në kuadër të akreditimit të programeve të studimit. Nuk është e thënë që çdo pikë e mëposhtme duhet të jetë një dokument i veçantë, por në një dokument mund të përmblidhen disa nga të dhënat e kërkuara. Në rastin e programeve të ciklit të dytë (Master i Shkencave) dhe të ciklit të tretë (Specializim Afatgjatë dhe Doktoratë) i gjithë ky dokumentacion duhet të jetë në gjuhën shqip dhe angleze ashtu si dhe RVB. Në cdo rast bazohuni në Manualin për “</w:t>
      </w:r>
      <w:r w:rsidRPr="00F36BA9">
        <w:rPr>
          <w:rFonts w:ascii="Times New Roman" w:eastAsia="Calibri" w:hAnsi="Times New Roman" w:cs="Times New Roman"/>
          <w:i/>
          <w:color w:val="000000"/>
          <w:sz w:val="24"/>
          <w:szCs w:val="24"/>
          <w:lang w:val="en-GB"/>
        </w:rPr>
        <w:t>Procedurat dhe Afatet për Vlerësimin e Cilësisë në kuadër të akreditimit të Institucioneve të Arsimit të Lartë dhe programeve të studimit</w:t>
      </w:r>
      <w:r w:rsidRPr="00F36BA9">
        <w:rPr>
          <w:rFonts w:ascii="Times New Roman" w:eastAsia="Calibri" w:hAnsi="Times New Roman" w:cs="Times New Roman"/>
          <w:color w:val="000000"/>
          <w:sz w:val="24"/>
          <w:szCs w:val="24"/>
          <w:lang w:val="en-GB"/>
        </w:rPr>
        <w: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 Rregullore të përgjithshme dhe specifike të funksionimit të njësisë kryesore dhe bazë që ofrojnë</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Programin;</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 Dosja e programit të studimit e plotësuar me të gjitha elementët e nevojshëm;</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3. Regullore e programit të studimit;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4. Misioni dhe studimi i tregut të punës për programin e studimit;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5. Strategjia e zhvillimit të programit;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6. Dëshmi e respektimit të autonomisë dhe lirisë akademike e financiare;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7. Politika të burimeve njerëzore, politikat e punësimit, përfshirë rekrutimin dhe përzgjedhjen;</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8. Politika e zhvillimit të stafit akademik;</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9. Struktura organizative e IAL dhe programeve;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10. Politika e jashtme për mobilitetin e stafit dhe studentëve;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11. Politika për të mësuarit, mësimdhënien dhe cilësinë në mësimdhënie;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12. Politika të vlerësimit akademik të stafit e mësimdhënies;</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13. Rregulloret për testimet e provimet, kriteret dhe procedurat e diplomimit etj;</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14. Diplomat dhe suplementet e diplomave;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15. Procedurë dhe ankimimi për studentët;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16. Procedurë për mbështetjen, zhvillimin dhe përmirësimin e cilësisë së programeve të studimit;</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17. Procedura për përmirësimin e cilësisë së mësimdhënies;</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18. Politika e pranimit të studentëve;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19. Procedura e regjistrimit të studentëve, databaza e studentëve/regjistri;</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20. Politika të mbështetjes, përkrahjes, u etj për studentët dhe struktura organizative të tyre;</w:t>
      </w:r>
    </w:p>
    <w:p w:rsidR="00FA5847" w:rsidRPr="00F36BA9"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21. Veprimtaria kërkimore, monitorimi dhe rezultatet në nivel programi;</w:t>
      </w:r>
    </w:p>
    <w:p w:rsidR="00FA5847" w:rsidRPr="003F4035" w:rsidRDefault="00FA5847" w:rsidP="00FA5847">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22. Politika e bashkëpunimit dhe marrëveshjet e partneritetit në funksion të programit;</w:t>
      </w:r>
    </w:p>
    <w:p w:rsidR="00FA5847" w:rsidRDefault="00FA5847"/>
    <w:p w:rsidR="003F61A0" w:rsidRDefault="003F61A0"/>
    <w:p w:rsidR="003F61A0" w:rsidRDefault="003F61A0"/>
    <w:p w:rsidR="003F61A0" w:rsidRDefault="003F61A0"/>
    <w:p w:rsidR="003F61A0" w:rsidRDefault="003F61A0"/>
    <w:sectPr w:rsidR="003F61A0" w:rsidSect="00DD3D25">
      <w:footerReference w:type="default" r:id="rId8"/>
      <w:pgSz w:w="11907" w:h="16839" w:code="9"/>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BD" w:rsidRDefault="00C46FBD" w:rsidP="00ED503D">
      <w:pPr>
        <w:spacing w:after="0" w:line="240" w:lineRule="auto"/>
      </w:pPr>
      <w:r>
        <w:separator/>
      </w:r>
    </w:p>
  </w:endnote>
  <w:endnote w:type="continuationSeparator" w:id="0">
    <w:p w:rsidR="00C46FBD" w:rsidRDefault="00C46FBD"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460" w:rsidRDefault="00B85460">
    <w:pPr>
      <w:pStyle w:val="Footer"/>
      <w:jc w:val="center"/>
    </w:pPr>
    <w:r>
      <w:fldChar w:fldCharType="begin"/>
    </w:r>
    <w:r>
      <w:instrText xml:space="preserve"> PAGE   \* MERGEFORMAT </w:instrText>
    </w:r>
    <w:r>
      <w:fldChar w:fldCharType="separate"/>
    </w:r>
    <w:r w:rsidR="006E4AC4">
      <w:rPr>
        <w:noProof/>
      </w:rPr>
      <w:t>22</w:t>
    </w:r>
    <w:r>
      <w:rPr>
        <w:noProof/>
      </w:rPr>
      <w:fldChar w:fldCharType="end"/>
    </w:r>
  </w:p>
  <w:p w:rsidR="00B85460" w:rsidRDefault="00B85460">
    <w:pPr>
      <w:pStyle w:val="Footer"/>
    </w:pPr>
  </w:p>
  <w:p w:rsidR="00B85460" w:rsidRDefault="00B8546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B85460" w:rsidRPr="00D06F47" w:rsidRDefault="00B85460"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B85460" w:rsidRPr="00D06F47" w:rsidRDefault="00B85460" w:rsidP="00BE2961">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Pranë gjim. «Q. Staf</w:t>
        </w:r>
        <w:r>
          <w:rPr>
            <w:rFonts w:ascii="Baskerville Old Face" w:hAnsi="Baskerville Old Face"/>
            <w:sz w:val="20"/>
            <w:szCs w:val="20"/>
            <w:lang w:val="fr-FR"/>
          </w:rPr>
          <w:t>a», Tiranë</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B85460" w:rsidRPr="00243BA4" w:rsidRDefault="00B85460">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6E4AC4">
          <w:rPr>
            <w:noProof/>
          </w:rPr>
          <w:t>46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BD" w:rsidRDefault="00C46FBD" w:rsidP="00ED503D">
      <w:pPr>
        <w:spacing w:after="0" w:line="240" w:lineRule="auto"/>
      </w:pPr>
      <w:r>
        <w:separator/>
      </w:r>
    </w:p>
  </w:footnote>
  <w:footnote w:type="continuationSeparator" w:id="0">
    <w:p w:rsidR="00C46FBD" w:rsidRDefault="00C46FBD" w:rsidP="00ED503D">
      <w:pPr>
        <w:spacing w:after="0" w:line="240" w:lineRule="auto"/>
      </w:pPr>
      <w:r>
        <w:continuationSeparator/>
      </w:r>
    </w:p>
  </w:footnote>
  <w:footnote w:id="1">
    <w:p w:rsidR="00B85460" w:rsidRPr="002645E8" w:rsidRDefault="00B85460" w:rsidP="003C3A45">
      <w:pPr>
        <w:pStyle w:val="FootnoteText"/>
        <w:jc w:val="both"/>
      </w:pPr>
      <w:r w:rsidRPr="002645E8">
        <w:rPr>
          <w:rStyle w:val="FootnoteReference"/>
        </w:rPr>
        <w:footnoteRef/>
      </w:r>
      <w:r w:rsidRPr="002645E8">
        <w:t xml:space="preserve"> A</w:t>
      </w:r>
      <w:r w:rsidRPr="002645E8">
        <w:rPr>
          <w:spacing w:val="-3"/>
        </w:rPr>
        <w:t>f</w:t>
      </w:r>
      <w:r w:rsidRPr="002645E8">
        <w:t>të</w:t>
      </w:r>
      <w:r w:rsidRPr="002645E8">
        <w:rPr>
          <w:spacing w:val="-1"/>
        </w:rPr>
        <w:t>s</w:t>
      </w:r>
      <w:r w:rsidRPr="002645E8">
        <w:t>i</w:t>
      </w:r>
      <w:r w:rsidRPr="002645E8">
        <w:rPr>
          <w:spacing w:val="1"/>
        </w:rPr>
        <w:t>t</w:t>
      </w:r>
      <w:r w:rsidRPr="002645E8">
        <w:t>ë</w:t>
      </w:r>
      <w:r w:rsidRPr="002645E8">
        <w:rPr>
          <w:spacing w:val="14"/>
        </w:rPr>
        <w:t xml:space="preserve"> </w:t>
      </w:r>
      <w:r w:rsidRPr="002645E8">
        <w:t>e</w:t>
      </w:r>
      <w:r w:rsidRPr="002645E8">
        <w:rPr>
          <w:spacing w:val="14"/>
        </w:rPr>
        <w:t xml:space="preserve"> </w:t>
      </w:r>
      <w:r w:rsidRPr="002645E8">
        <w:rPr>
          <w:spacing w:val="-1"/>
        </w:rPr>
        <w:t>k</w:t>
      </w:r>
      <w:r w:rsidRPr="002645E8">
        <w:rPr>
          <w:spacing w:val="3"/>
        </w:rPr>
        <w:t>o</w:t>
      </w:r>
      <w:r w:rsidRPr="002645E8">
        <w:rPr>
          <w:spacing w:val="-3"/>
        </w:rPr>
        <w:t>m</w:t>
      </w:r>
      <w:r w:rsidRPr="002645E8">
        <w:rPr>
          <w:spacing w:val="1"/>
        </w:rPr>
        <w:t>un</w:t>
      </w:r>
      <w:r w:rsidRPr="002645E8">
        <w:t>i</w:t>
      </w:r>
      <w:r w:rsidRPr="002645E8">
        <w:rPr>
          <w:spacing w:val="-1"/>
        </w:rPr>
        <w:t>k</w:t>
      </w:r>
      <w:r w:rsidRPr="002645E8">
        <w:t>i</w:t>
      </w:r>
      <w:r w:rsidRPr="002645E8">
        <w:rPr>
          <w:spacing w:val="-3"/>
        </w:rPr>
        <w:t>m</w:t>
      </w:r>
      <w:r w:rsidRPr="002645E8">
        <w:t>it</w:t>
      </w:r>
      <w:r w:rsidRPr="002645E8">
        <w:rPr>
          <w:spacing w:val="15"/>
        </w:rPr>
        <w:t xml:space="preserve"> </w:t>
      </w:r>
      <w:r w:rsidRPr="002645E8">
        <w:t>të</w:t>
      </w:r>
      <w:r w:rsidRPr="002645E8">
        <w:rPr>
          <w:spacing w:val="14"/>
        </w:rPr>
        <w:t xml:space="preserve"> </w:t>
      </w:r>
      <w:r w:rsidRPr="002645E8">
        <w:t>st</w:t>
      </w:r>
      <w:r w:rsidRPr="002645E8">
        <w:rPr>
          <w:spacing w:val="1"/>
        </w:rPr>
        <w:t>ud</w:t>
      </w:r>
      <w:r w:rsidRPr="002645E8">
        <w:rPr>
          <w:spacing w:val="-1"/>
        </w:rPr>
        <w:t>e</w:t>
      </w:r>
      <w:r w:rsidRPr="002645E8">
        <w:rPr>
          <w:spacing w:val="1"/>
        </w:rPr>
        <w:t>n</w:t>
      </w:r>
      <w:r w:rsidRPr="002645E8">
        <w:t>t</w:t>
      </w:r>
      <w:r w:rsidRPr="002645E8">
        <w:rPr>
          <w:spacing w:val="1"/>
        </w:rPr>
        <w:t>i</w:t>
      </w:r>
      <w:r w:rsidRPr="002645E8">
        <w:t>t</w:t>
      </w:r>
      <w:r w:rsidRPr="002645E8">
        <w:rPr>
          <w:spacing w:val="13"/>
        </w:rPr>
        <w:t xml:space="preserve"> </w:t>
      </w:r>
      <w:r w:rsidRPr="002645E8">
        <w:rPr>
          <w:spacing w:val="1"/>
        </w:rPr>
        <w:t>p</w:t>
      </w:r>
      <w:r w:rsidRPr="002645E8">
        <w:rPr>
          <w:spacing w:val="-1"/>
        </w:rPr>
        <w:t>ë</w:t>
      </w:r>
      <w:r w:rsidRPr="002645E8">
        <w:t>r</w:t>
      </w:r>
      <w:r w:rsidRPr="002645E8">
        <w:rPr>
          <w:spacing w:val="-2"/>
        </w:rPr>
        <w:t>f</w:t>
      </w:r>
      <w:r w:rsidRPr="002645E8">
        <w:t>s</w:t>
      </w:r>
      <w:r w:rsidRPr="002645E8">
        <w:rPr>
          <w:spacing w:val="1"/>
        </w:rPr>
        <w:t>h</w:t>
      </w:r>
      <w:r w:rsidRPr="002645E8">
        <w:t>i</w:t>
      </w:r>
      <w:r w:rsidRPr="002645E8">
        <w:rPr>
          <w:spacing w:val="1"/>
        </w:rPr>
        <w:t>jn</w:t>
      </w:r>
      <w:r w:rsidRPr="002645E8">
        <w:rPr>
          <w:spacing w:val="-1"/>
        </w:rPr>
        <w:t>ë</w:t>
      </w:r>
      <w:r w:rsidRPr="002645E8">
        <w:t>:</w:t>
      </w:r>
      <w:r w:rsidRPr="002645E8">
        <w:rPr>
          <w:spacing w:val="15"/>
        </w:rPr>
        <w:t xml:space="preserve"> </w:t>
      </w:r>
      <w:r w:rsidRPr="002645E8">
        <w:rPr>
          <w:spacing w:val="-1"/>
        </w:rPr>
        <w:t>k</w:t>
      </w:r>
      <w:r w:rsidRPr="002645E8">
        <w:rPr>
          <w:spacing w:val="1"/>
        </w:rPr>
        <w:t>o</w:t>
      </w:r>
      <w:r w:rsidRPr="002645E8">
        <w:rPr>
          <w:spacing w:val="-3"/>
        </w:rPr>
        <w:t>m</w:t>
      </w:r>
      <w:r w:rsidRPr="002645E8">
        <w:rPr>
          <w:spacing w:val="1"/>
        </w:rPr>
        <w:t>p</w:t>
      </w:r>
      <w:r w:rsidRPr="002645E8">
        <w:rPr>
          <w:spacing w:val="-1"/>
        </w:rPr>
        <w:t>e</w:t>
      </w:r>
      <w:r w:rsidRPr="002645E8">
        <w:t>te</w:t>
      </w:r>
      <w:r w:rsidRPr="002645E8">
        <w:rPr>
          <w:spacing w:val="1"/>
        </w:rPr>
        <w:t>n</w:t>
      </w:r>
      <w:r w:rsidRPr="002645E8">
        <w:rPr>
          <w:spacing w:val="-1"/>
        </w:rPr>
        <w:t>cë</w:t>
      </w:r>
      <w:r w:rsidRPr="002645E8">
        <w:t>n</w:t>
      </w:r>
      <w:r w:rsidRPr="002645E8">
        <w:rPr>
          <w:spacing w:val="16"/>
        </w:rPr>
        <w:t xml:space="preserve"> </w:t>
      </w:r>
      <w:r w:rsidRPr="002645E8">
        <w:rPr>
          <w:spacing w:val="1"/>
        </w:rPr>
        <w:t>p</w:t>
      </w:r>
      <w:r w:rsidRPr="002645E8">
        <w:rPr>
          <w:spacing w:val="-1"/>
        </w:rPr>
        <w:t>ë</w:t>
      </w:r>
      <w:r w:rsidRPr="002645E8">
        <w:t>r</w:t>
      </w:r>
      <w:r w:rsidRPr="002645E8">
        <w:rPr>
          <w:spacing w:val="15"/>
        </w:rPr>
        <w:t xml:space="preserve"> </w:t>
      </w:r>
      <w:r w:rsidRPr="002645E8">
        <w:t>të</w:t>
      </w:r>
      <w:r w:rsidRPr="002645E8">
        <w:rPr>
          <w:spacing w:val="19"/>
        </w:rPr>
        <w:t xml:space="preserve"> </w:t>
      </w:r>
      <w:r w:rsidRPr="002645E8">
        <w:rPr>
          <w:spacing w:val="1"/>
        </w:rPr>
        <w:t>p</w:t>
      </w:r>
      <w:r w:rsidRPr="002645E8">
        <w:rPr>
          <w:spacing w:val="-1"/>
        </w:rPr>
        <w:t>ë</w:t>
      </w:r>
      <w:r w:rsidRPr="002645E8">
        <w:t>rs</w:t>
      </w:r>
      <w:r w:rsidRPr="002645E8">
        <w:rPr>
          <w:spacing w:val="1"/>
        </w:rPr>
        <w:t>h</w:t>
      </w:r>
      <w:r w:rsidRPr="002645E8">
        <w:rPr>
          <w:spacing w:val="-1"/>
        </w:rPr>
        <w:t>k</w:t>
      </w:r>
      <w:r w:rsidRPr="002645E8">
        <w:t>r</w:t>
      </w:r>
      <w:r w:rsidRPr="002645E8">
        <w:rPr>
          <w:spacing w:val="1"/>
        </w:rPr>
        <w:t>u</w:t>
      </w:r>
      <w:r w:rsidRPr="002645E8">
        <w:rPr>
          <w:spacing w:val="-1"/>
        </w:rPr>
        <w:t>a</w:t>
      </w:r>
      <w:r w:rsidRPr="002645E8">
        <w:t>r</w:t>
      </w:r>
      <w:r w:rsidRPr="002645E8">
        <w:rPr>
          <w:spacing w:val="12"/>
        </w:rPr>
        <w:t xml:space="preserve"> </w:t>
      </w:r>
      <w:r w:rsidRPr="002645E8">
        <w:rPr>
          <w:spacing w:val="1"/>
        </w:rPr>
        <w:t>n</w:t>
      </w:r>
      <w:r w:rsidRPr="002645E8">
        <w:t>ë</w:t>
      </w:r>
      <w:r w:rsidRPr="002645E8">
        <w:rPr>
          <w:spacing w:val="14"/>
        </w:rPr>
        <w:t xml:space="preserve"> </w:t>
      </w:r>
      <w:r w:rsidRPr="002645E8">
        <w:rPr>
          <w:spacing w:val="-3"/>
        </w:rPr>
        <w:t>m</w:t>
      </w:r>
      <w:r w:rsidRPr="002645E8">
        <w:rPr>
          <w:spacing w:val="-1"/>
        </w:rPr>
        <w:t>ë</w:t>
      </w:r>
      <w:r w:rsidRPr="002645E8">
        <w:rPr>
          <w:spacing w:val="3"/>
        </w:rPr>
        <w:t>n</w:t>
      </w:r>
      <w:r w:rsidRPr="002645E8">
        <w:rPr>
          <w:spacing w:val="-4"/>
        </w:rPr>
        <w:t>y</w:t>
      </w:r>
      <w:r w:rsidRPr="002645E8">
        <w:t>rë</w:t>
      </w:r>
      <w:r w:rsidRPr="002645E8">
        <w:rPr>
          <w:spacing w:val="14"/>
        </w:rPr>
        <w:t xml:space="preserve"> </w:t>
      </w:r>
      <w:r w:rsidRPr="002645E8">
        <w:t>të</w:t>
      </w:r>
      <w:r w:rsidRPr="002645E8">
        <w:rPr>
          <w:spacing w:val="14"/>
        </w:rPr>
        <w:t xml:space="preserve"> </w:t>
      </w:r>
      <w:r w:rsidRPr="002645E8">
        <w:rPr>
          <w:spacing w:val="1"/>
        </w:rPr>
        <w:t>q</w:t>
      </w:r>
      <w:r w:rsidRPr="002645E8">
        <w:rPr>
          <w:spacing w:val="-1"/>
        </w:rPr>
        <w:t>a</w:t>
      </w:r>
      <w:r w:rsidRPr="002645E8">
        <w:t>rtë</w:t>
      </w:r>
      <w:r w:rsidRPr="002645E8">
        <w:rPr>
          <w:spacing w:val="14"/>
        </w:rPr>
        <w:t xml:space="preserve"> </w:t>
      </w:r>
      <w:r w:rsidRPr="002645E8">
        <w:t>r</w:t>
      </w:r>
      <w:r w:rsidRPr="002645E8">
        <w:rPr>
          <w:spacing w:val="-1"/>
        </w:rPr>
        <w:t>a</w:t>
      </w:r>
      <w:r w:rsidRPr="002645E8">
        <w:t>st</w:t>
      </w:r>
      <w:r w:rsidRPr="002645E8">
        <w:rPr>
          <w:spacing w:val="-1"/>
        </w:rPr>
        <w:t>e</w:t>
      </w:r>
      <w:r w:rsidRPr="002645E8">
        <w:t>t</w:t>
      </w:r>
      <w:r w:rsidRPr="002645E8">
        <w:rPr>
          <w:spacing w:val="15"/>
        </w:rPr>
        <w:t xml:space="preserve"> </w:t>
      </w:r>
      <w:r w:rsidRPr="002645E8">
        <w:rPr>
          <w:spacing w:val="-1"/>
        </w:rPr>
        <w:t>k</w:t>
      </w:r>
      <w:r w:rsidRPr="002645E8">
        <w:t>l</w:t>
      </w:r>
      <w:r w:rsidRPr="002645E8">
        <w:rPr>
          <w:spacing w:val="1"/>
        </w:rPr>
        <w:t>in</w:t>
      </w:r>
      <w:r w:rsidRPr="002645E8">
        <w:t>i</w:t>
      </w:r>
      <w:r w:rsidRPr="002645E8">
        <w:rPr>
          <w:spacing w:val="-1"/>
        </w:rPr>
        <w:t>ke</w:t>
      </w:r>
      <w:r w:rsidRPr="002645E8">
        <w:t>;</w:t>
      </w:r>
      <w:r w:rsidRPr="002645E8">
        <w:rPr>
          <w:spacing w:val="15"/>
        </w:rPr>
        <w:t xml:space="preserve"> </w:t>
      </w:r>
      <w:r w:rsidRPr="002645E8">
        <w:rPr>
          <w:spacing w:val="1"/>
        </w:rPr>
        <w:t>p</w:t>
      </w:r>
      <w:r w:rsidRPr="002645E8">
        <w:rPr>
          <w:spacing w:val="-1"/>
        </w:rPr>
        <w:t>ë</w:t>
      </w:r>
      <w:r w:rsidRPr="002645E8">
        <w:t>r</w:t>
      </w:r>
      <w:r w:rsidRPr="002645E8">
        <w:rPr>
          <w:spacing w:val="-1"/>
        </w:rPr>
        <w:t>d</w:t>
      </w:r>
      <w:r w:rsidRPr="002645E8">
        <w:rPr>
          <w:spacing w:val="1"/>
        </w:rPr>
        <w:t>o</w:t>
      </w:r>
      <w:r w:rsidRPr="002645E8">
        <w:t>ri</w:t>
      </w:r>
      <w:r w:rsidRPr="002645E8">
        <w:rPr>
          <w:spacing w:val="-3"/>
        </w:rPr>
        <w:t>m</w:t>
      </w:r>
      <w:r w:rsidRPr="002645E8">
        <w:t>in</w:t>
      </w:r>
      <w:r w:rsidRPr="002645E8">
        <w:rPr>
          <w:spacing w:val="16"/>
        </w:rPr>
        <w:t xml:space="preserve"> </w:t>
      </w:r>
      <w:r w:rsidRPr="002645E8">
        <w:t xml:space="preserve">e </w:t>
      </w:r>
      <w:r w:rsidRPr="002645E8">
        <w:rPr>
          <w:spacing w:val="-1"/>
        </w:rPr>
        <w:t>a</w:t>
      </w:r>
      <w:r w:rsidRPr="002645E8">
        <w:t>r</w:t>
      </w:r>
      <w:r w:rsidRPr="002645E8">
        <w:rPr>
          <w:spacing w:val="-1"/>
        </w:rPr>
        <w:t>g</w:t>
      </w:r>
      <w:r w:rsidRPr="002645E8">
        <w:rPr>
          <w:spacing w:val="3"/>
        </w:rPr>
        <w:t>u</w:t>
      </w:r>
      <w:r w:rsidRPr="002645E8">
        <w:rPr>
          <w:spacing w:val="-3"/>
        </w:rPr>
        <w:t>m</w:t>
      </w:r>
      <w:r w:rsidRPr="002645E8">
        <w:rPr>
          <w:spacing w:val="-1"/>
        </w:rPr>
        <w:t>e</w:t>
      </w:r>
      <w:r w:rsidRPr="002645E8">
        <w:rPr>
          <w:spacing w:val="1"/>
        </w:rPr>
        <w:t>n</w:t>
      </w:r>
      <w:r w:rsidRPr="002645E8">
        <w:t>te</w:t>
      </w:r>
      <w:r w:rsidRPr="002645E8">
        <w:rPr>
          <w:spacing w:val="-2"/>
        </w:rPr>
        <w:t>v</w:t>
      </w:r>
      <w:r w:rsidRPr="002645E8">
        <w:t>e</w:t>
      </w:r>
      <w:r w:rsidRPr="002645E8">
        <w:rPr>
          <w:spacing w:val="1"/>
        </w:rPr>
        <w:t xml:space="preserve"> b</w:t>
      </w:r>
      <w:r w:rsidRPr="002645E8">
        <w:t>i</w:t>
      </w:r>
      <w:r w:rsidRPr="002645E8">
        <w:rPr>
          <w:spacing w:val="1"/>
        </w:rPr>
        <w:t>nd</w:t>
      </w:r>
      <w:r w:rsidRPr="002645E8">
        <w:rPr>
          <w:spacing w:val="-1"/>
        </w:rPr>
        <w:t>ë</w:t>
      </w:r>
      <w:r w:rsidRPr="002645E8">
        <w:t>se</w:t>
      </w:r>
      <w:r w:rsidRPr="002645E8">
        <w:rPr>
          <w:spacing w:val="1"/>
        </w:rPr>
        <w:t xml:space="preserve"> dh</w:t>
      </w:r>
      <w:r w:rsidRPr="002645E8">
        <w:t>e</w:t>
      </w:r>
      <w:r w:rsidRPr="002645E8">
        <w:rPr>
          <w:spacing w:val="2"/>
        </w:rPr>
        <w:t xml:space="preserve"> </w:t>
      </w:r>
      <w:r w:rsidRPr="002645E8">
        <w:rPr>
          <w:spacing w:val="-1"/>
        </w:rPr>
        <w:t>a</w:t>
      </w:r>
      <w:r w:rsidRPr="002645E8">
        <w:t>rt</w:t>
      </w:r>
      <w:r w:rsidRPr="002645E8">
        <w:rPr>
          <w:spacing w:val="1"/>
        </w:rPr>
        <w:t>i</w:t>
      </w:r>
      <w:r w:rsidRPr="002645E8">
        <w:rPr>
          <w:spacing w:val="-1"/>
        </w:rPr>
        <w:t>k</w:t>
      </w:r>
      <w:r w:rsidRPr="002645E8">
        <w:rPr>
          <w:spacing w:val="1"/>
        </w:rPr>
        <w:t>u</w:t>
      </w:r>
      <w:r w:rsidRPr="002645E8">
        <w:rPr>
          <w:spacing w:val="-2"/>
        </w:rPr>
        <w:t>li</w:t>
      </w:r>
      <w:r w:rsidRPr="002645E8">
        <w:rPr>
          <w:spacing w:val="-3"/>
        </w:rPr>
        <w:t>m</w:t>
      </w:r>
      <w:r w:rsidRPr="002645E8">
        <w:t>in</w:t>
      </w:r>
      <w:r w:rsidRPr="002645E8">
        <w:rPr>
          <w:spacing w:val="3"/>
        </w:rPr>
        <w:t xml:space="preserve"> </w:t>
      </w:r>
      <w:r w:rsidRPr="002645E8">
        <w:t>e</w:t>
      </w:r>
      <w:r w:rsidRPr="002645E8">
        <w:rPr>
          <w:spacing w:val="1"/>
        </w:rPr>
        <w:t xml:space="preserve"> q</w:t>
      </w:r>
      <w:r w:rsidRPr="002645E8">
        <w:rPr>
          <w:spacing w:val="-1"/>
        </w:rPr>
        <w:t>a</w:t>
      </w:r>
      <w:r w:rsidRPr="002645E8">
        <w:t>rtë</w:t>
      </w:r>
      <w:r w:rsidRPr="002645E8">
        <w:rPr>
          <w:spacing w:val="2"/>
        </w:rPr>
        <w:t xml:space="preserve"> </w:t>
      </w:r>
      <w:r w:rsidRPr="002645E8">
        <w:t>të</w:t>
      </w:r>
      <w:r w:rsidRPr="002645E8">
        <w:rPr>
          <w:spacing w:val="2"/>
        </w:rPr>
        <w:t xml:space="preserve"> </w:t>
      </w:r>
      <w:r w:rsidRPr="002645E8">
        <w:t>i</w:t>
      </w:r>
      <w:r w:rsidRPr="002645E8">
        <w:rPr>
          <w:spacing w:val="1"/>
        </w:rPr>
        <w:t>d</w:t>
      </w:r>
      <w:r w:rsidRPr="002645E8">
        <w:rPr>
          <w:spacing w:val="-1"/>
        </w:rPr>
        <w:t>ev</w:t>
      </w:r>
      <w:r w:rsidRPr="002645E8">
        <w:t>e</w:t>
      </w:r>
      <w:r w:rsidRPr="002645E8">
        <w:rPr>
          <w:spacing w:val="1"/>
        </w:rPr>
        <w:t xml:space="preserve"> p</w:t>
      </w:r>
      <w:r w:rsidRPr="002645E8">
        <w:rPr>
          <w:spacing w:val="-1"/>
        </w:rPr>
        <w:t>a</w:t>
      </w:r>
      <w:r w:rsidRPr="002645E8">
        <w:t>ra</w:t>
      </w:r>
      <w:r w:rsidRPr="002645E8">
        <w:rPr>
          <w:spacing w:val="1"/>
        </w:rPr>
        <w:t xml:space="preserve"> p</w:t>
      </w:r>
      <w:r w:rsidRPr="002645E8">
        <w:rPr>
          <w:spacing w:val="-1"/>
        </w:rPr>
        <w:t>ac</w:t>
      </w:r>
      <w:r w:rsidRPr="002645E8">
        <w:t>ie</w:t>
      </w:r>
      <w:r w:rsidRPr="002645E8">
        <w:rPr>
          <w:spacing w:val="1"/>
        </w:rPr>
        <w:t>n</w:t>
      </w:r>
      <w:r w:rsidRPr="002645E8">
        <w:t>t</w:t>
      </w:r>
      <w:r w:rsidRPr="002645E8">
        <w:rPr>
          <w:spacing w:val="1"/>
        </w:rPr>
        <w:t>i</w:t>
      </w:r>
      <w:r w:rsidRPr="002645E8">
        <w:t xml:space="preserve">t </w:t>
      </w:r>
      <w:r w:rsidRPr="002645E8">
        <w:rPr>
          <w:spacing w:val="1"/>
        </w:rPr>
        <w:t>dh</w:t>
      </w:r>
      <w:r w:rsidRPr="002645E8">
        <w:t>e</w:t>
      </w:r>
      <w:r w:rsidRPr="002645E8">
        <w:rPr>
          <w:spacing w:val="1"/>
        </w:rPr>
        <w:t xml:space="preserve"> </w:t>
      </w:r>
      <w:r w:rsidRPr="002645E8">
        <w:rPr>
          <w:spacing w:val="-1"/>
        </w:rPr>
        <w:t>ko</w:t>
      </w:r>
      <w:r w:rsidRPr="002645E8">
        <w:t>le</w:t>
      </w:r>
      <w:r w:rsidRPr="002645E8">
        <w:rPr>
          <w:spacing w:val="-2"/>
        </w:rPr>
        <w:t>g</w:t>
      </w:r>
      <w:r w:rsidRPr="002645E8">
        <w:rPr>
          <w:spacing w:val="-1"/>
        </w:rPr>
        <w:t>eve</w:t>
      </w:r>
      <w:r w:rsidRPr="002645E8">
        <w:t>;</w:t>
      </w:r>
      <w:r w:rsidRPr="002645E8">
        <w:rPr>
          <w:spacing w:val="2"/>
        </w:rPr>
        <w:t xml:space="preserve"> </w:t>
      </w:r>
      <w:r w:rsidRPr="002645E8">
        <w:rPr>
          <w:spacing w:val="-1"/>
        </w:rPr>
        <w:t>z</w:t>
      </w:r>
      <w:r w:rsidRPr="002645E8">
        <w:rPr>
          <w:spacing w:val="1"/>
        </w:rPr>
        <w:t>o</w:t>
      </w:r>
      <w:r w:rsidRPr="002645E8">
        <w:t>të</w:t>
      </w:r>
      <w:r w:rsidRPr="002645E8">
        <w:rPr>
          <w:spacing w:val="-1"/>
        </w:rPr>
        <w:t>s</w:t>
      </w:r>
      <w:r w:rsidRPr="002645E8">
        <w:t>i</w:t>
      </w:r>
      <w:r w:rsidRPr="002645E8">
        <w:rPr>
          <w:spacing w:val="1"/>
        </w:rPr>
        <w:t>n</w:t>
      </w:r>
      <w:r w:rsidRPr="002645E8">
        <w:t>ë</w:t>
      </w:r>
      <w:r w:rsidRPr="002645E8">
        <w:rPr>
          <w:spacing w:val="1"/>
        </w:rPr>
        <w:t xml:space="preserve"> p</w:t>
      </w:r>
      <w:r w:rsidRPr="002645E8">
        <w:rPr>
          <w:spacing w:val="-1"/>
        </w:rPr>
        <w:t>ë</w:t>
      </w:r>
      <w:r w:rsidRPr="002645E8">
        <w:t>r</w:t>
      </w:r>
      <w:r w:rsidRPr="002645E8">
        <w:rPr>
          <w:spacing w:val="2"/>
        </w:rPr>
        <w:t xml:space="preserve"> </w:t>
      </w:r>
      <w:r w:rsidRPr="002645E8">
        <w:t>të</w:t>
      </w:r>
      <w:r w:rsidRPr="002645E8">
        <w:rPr>
          <w:spacing w:val="2"/>
        </w:rPr>
        <w:t xml:space="preserve"> </w:t>
      </w:r>
      <w:r w:rsidRPr="002645E8">
        <w:rPr>
          <w:spacing w:val="1"/>
        </w:rPr>
        <w:t>d</w:t>
      </w:r>
      <w:r w:rsidRPr="002645E8">
        <w:rPr>
          <w:spacing w:val="-1"/>
        </w:rPr>
        <w:t>eba</w:t>
      </w:r>
      <w:r w:rsidRPr="002645E8">
        <w:t>t</w:t>
      </w:r>
      <w:r w:rsidRPr="002645E8">
        <w:rPr>
          <w:spacing w:val="1"/>
        </w:rPr>
        <w:t>u</w:t>
      </w:r>
      <w:r w:rsidRPr="002645E8">
        <w:rPr>
          <w:spacing w:val="-1"/>
        </w:rPr>
        <w:t>a</w:t>
      </w:r>
      <w:r w:rsidRPr="002645E8">
        <w:t>r</w:t>
      </w:r>
      <w:r w:rsidRPr="002645E8">
        <w:rPr>
          <w:spacing w:val="2"/>
        </w:rPr>
        <w:t xml:space="preserve"> </w:t>
      </w:r>
      <w:r w:rsidRPr="002645E8">
        <w:rPr>
          <w:spacing w:val="1"/>
        </w:rPr>
        <w:t>dh</w:t>
      </w:r>
      <w:r w:rsidRPr="002645E8">
        <w:t>e</w:t>
      </w:r>
      <w:r w:rsidRPr="002645E8">
        <w:rPr>
          <w:spacing w:val="1"/>
        </w:rPr>
        <w:t xml:space="preserve"> </w:t>
      </w:r>
      <w:r w:rsidRPr="002645E8">
        <w:rPr>
          <w:spacing w:val="-3"/>
        </w:rPr>
        <w:t>m</w:t>
      </w:r>
      <w:r w:rsidRPr="002645E8">
        <w:rPr>
          <w:spacing w:val="1"/>
        </w:rPr>
        <w:t>b</w:t>
      </w:r>
      <w:r w:rsidRPr="002645E8">
        <w:rPr>
          <w:spacing w:val="-1"/>
        </w:rPr>
        <w:t>ë</w:t>
      </w:r>
      <w:r w:rsidRPr="002645E8">
        <w:t>s</w:t>
      </w:r>
      <w:r w:rsidRPr="002645E8">
        <w:rPr>
          <w:spacing w:val="1"/>
        </w:rPr>
        <w:t>h</w:t>
      </w:r>
      <w:r w:rsidRPr="002645E8">
        <w:t>tet</w:t>
      </w:r>
      <w:r w:rsidRPr="002645E8">
        <w:rPr>
          <w:spacing w:val="1"/>
        </w:rPr>
        <w:t>u</w:t>
      </w:r>
      <w:r w:rsidRPr="002645E8">
        <w:t>r të</w:t>
      </w:r>
      <w:r w:rsidRPr="002645E8">
        <w:rPr>
          <w:spacing w:val="2"/>
        </w:rPr>
        <w:t xml:space="preserve"> </w:t>
      </w:r>
      <w:r w:rsidRPr="002645E8">
        <w:t>t</w:t>
      </w:r>
      <w:r w:rsidRPr="002645E8">
        <w:rPr>
          <w:spacing w:val="1"/>
        </w:rPr>
        <w:t>j</w:t>
      </w:r>
      <w:r w:rsidRPr="002645E8">
        <w:rPr>
          <w:spacing w:val="-1"/>
        </w:rPr>
        <w:t>e</w:t>
      </w:r>
      <w:r w:rsidRPr="002645E8">
        <w:t>r</w:t>
      </w:r>
      <w:r w:rsidRPr="002645E8">
        <w:rPr>
          <w:spacing w:val="-1"/>
        </w:rPr>
        <w:t>ë</w:t>
      </w:r>
      <w:r w:rsidRPr="002645E8">
        <w:t xml:space="preserve">t, të </w:t>
      </w:r>
      <w:r w:rsidRPr="002645E8">
        <w:rPr>
          <w:spacing w:val="1"/>
        </w:rPr>
        <w:t>p</w:t>
      </w:r>
      <w:r w:rsidRPr="002645E8">
        <w:rPr>
          <w:spacing w:val="-1"/>
        </w:rPr>
        <w:t>ë</w:t>
      </w:r>
      <w:r w:rsidRPr="002645E8">
        <w:t>r</w:t>
      </w:r>
      <w:r w:rsidRPr="002645E8">
        <w:rPr>
          <w:spacing w:val="-2"/>
        </w:rPr>
        <w:t>f</w:t>
      </w:r>
      <w:r w:rsidRPr="002645E8">
        <w:t>s</w:t>
      </w:r>
      <w:r w:rsidRPr="002645E8">
        <w:rPr>
          <w:spacing w:val="1"/>
        </w:rPr>
        <w:t>h</w:t>
      </w:r>
      <w:r w:rsidRPr="002645E8">
        <w:t>irë,</w:t>
      </w:r>
      <w:r w:rsidRPr="002645E8">
        <w:rPr>
          <w:spacing w:val="1"/>
        </w:rPr>
        <w:t xml:space="preserve"> n</w:t>
      </w:r>
      <w:r w:rsidRPr="002645E8">
        <w:t xml:space="preserve">ë </w:t>
      </w:r>
      <w:r w:rsidRPr="002645E8">
        <w:rPr>
          <w:spacing w:val="-1"/>
        </w:rPr>
        <w:t>k</w:t>
      </w:r>
      <w:r w:rsidRPr="002645E8">
        <w:t>l</w:t>
      </w:r>
      <w:r w:rsidRPr="002645E8">
        <w:rPr>
          <w:spacing w:val="1"/>
        </w:rPr>
        <w:t>in</w:t>
      </w:r>
      <w:r w:rsidRPr="002645E8">
        <w:t>i</w:t>
      </w:r>
      <w:r w:rsidRPr="002645E8">
        <w:rPr>
          <w:spacing w:val="-1"/>
        </w:rPr>
        <w:t>kë</w:t>
      </w:r>
      <w:r w:rsidRPr="002645E8">
        <w:t>,</w:t>
      </w:r>
      <w:r w:rsidRPr="002645E8">
        <w:rPr>
          <w:spacing w:val="1"/>
        </w:rPr>
        <w:t xml:space="preserve"> </w:t>
      </w:r>
      <w:r w:rsidRPr="002645E8">
        <w:rPr>
          <w:spacing w:val="-3"/>
        </w:rPr>
        <w:t>m</w:t>
      </w:r>
      <w:r w:rsidRPr="002645E8">
        <w:rPr>
          <w:spacing w:val="1"/>
        </w:rPr>
        <w:t>b</w:t>
      </w:r>
      <w:r w:rsidRPr="002645E8">
        <w:t>i</w:t>
      </w:r>
      <w:r w:rsidRPr="002645E8">
        <w:rPr>
          <w:spacing w:val="-1"/>
        </w:rPr>
        <w:t>k</w:t>
      </w:r>
      <w:r w:rsidRPr="002645E8">
        <w:rPr>
          <w:spacing w:val="1"/>
        </w:rPr>
        <w:t>q</w:t>
      </w:r>
      <w:r w:rsidRPr="002645E8">
        <w:rPr>
          <w:spacing w:val="-4"/>
        </w:rPr>
        <w:t>y</w:t>
      </w:r>
      <w:r w:rsidRPr="002645E8">
        <w:t>r</w:t>
      </w:r>
      <w:r w:rsidRPr="002645E8">
        <w:rPr>
          <w:spacing w:val="3"/>
        </w:rPr>
        <w:t>j</w:t>
      </w:r>
      <w:r w:rsidRPr="002645E8">
        <w:t>e</w:t>
      </w:r>
      <w:r w:rsidRPr="002645E8">
        <w:rPr>
          <w:spacing w:val="2"/>
        </w:rPr>
        <w:t xml:space="preserve"> </w:t>
      </w:r>
      <w:r w:rsidRPr="002645E8">
        <w:rPr>
          <w:spacing w:val="1"/>
        </w:rPr>
        <w:t>o</w:t>
      </w:r>
      <w:r w:rsidRPr="002645E8">
        <w:t>se</w:t>
      </w:r>
      <w:r w:rsidRPr="002645E8">
        <w:rPr>
          <w:spacing w:val="-1"/>
        </w:rPr>
        <w:t xml:space="preserve"> </w:t>
      </w:r>
      <w:r w:rsidRPr="002645E8">
        <w:rPr>
          <w:spacing w:val="1"/>
        </w:rPr>
        <w:t>d</w:t>
      </w:r>
      <w:r w:rsidRPr="002645E8">
        <w:rPr>
          <w:spacing w:val="-1"/>
        </w:rPr>
        <w:t>e</w:t>
      </w:r>
      <w:r w:rsidRPr="002645E8">
        <w:rPr>
          <w:spacing w:val="-3"/>
        </w:rPr>
        <w:t>m</w:t>
      </w:r>
      <w:r w:rsidRPr="002645E8">
        <w:rPr>
          <w:spacing w:val="1"/>
        </w:rPr>
        <w:t>on</w:t>
      </w:r>
      <w:r w:rsidRPr="002645E8">
        <w:t>stri</w:t>
      </w:r>
      <w:r w:rsidRPr="002645E8">
        <w:rPr>
          <w:spacing w:val="-3"/>
        </w:rPr>
        <w:t>m</w:t>
      </w:r>
      <w:r w:rsidRPr="002645E8">
        <w:rPr>
          <w:spacing w:val="-1"/>
        </w:rPr>
        <w:t>e</w:t>
      </w:r>
      <w:r w:rsidRPr="002645E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C6AFC"/>
    <w:multiLevelType w:val="hybridMultilevel"/>
    <w:tmpl w:val="02220F1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BF085C"/>
    <w:multiLevelType w:val="hybridMultilevel"/>
    <w:tmpl w:val="DCA2BF7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B6BAB"/>
    <w:multiLevelType w:val="hybridMultilevel"/>
    <w:tmpl w:val="9FF8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5"/>
  </w:num>
  <w:num w:numId="5">
    <w:abstractNumId w:val="9"/>
  </w:num>
  <w:num w:numId="6">
    <w:abstractNumId w:val="0"/>
  </w:num>
  <w:num w:numId="7">
    <w:abstractNumId w:val="16"/>
  </w:num>
  <w:num w:numId="8">
    <w:abstractNumId w:val="1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num>
  <w:num w:numId="12">
    <w:abstractNumId w:val="15"/>
  </w:num>
  <w:num w:numId="13">
    <w:abstractNumId w:val="6"/>
  </w:num>
  <w:num w:numId="14">
    <w:abstractNumId w:val="8"/>
  </w:num>
  <w:num w:numId="15">
    <w:abstractNumId w:val="12"/>
  </w:num>
  <w:num w:numId="16">
    <w:abstractNumId w:val="19"/>
  </w:num>
  <w:num w:numId="17">
    <w:abstractNumId w:val="1"/>
  </w:num>
  <w:num w:numId="18">
    <w:abstractNumId w:val="17"/>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260C2"/>
    <w:rsid w:val="000361D2"/>
    <w:rsid w:val="00036E0D"/>
    <w:rsid w:val="00037AE6"/>
    <w:rsid w:val="00063277"/>
    <w:rsid w:val="000829C4"/>
    <w:rsid w:val="0009010A"/>
    <w:rsid w:val="000927D7"/>
    <w:rsid w:val="000A29B8"/>
    <w:rsid w:val="000A6727"/>
    <w:rsid w:val="000C68BB"/>
    <w:rsid w:val="001173E2"/>
    <w:rsid w:val="00132252"/>
    <w:rsid w:val="0013376E"/>
    <w:rsid w:val="00136003"/>
    <w:rsid w:val="00146A41"/>
    <w:rsid w:val="001570C3"/>
    <w:rsid w:val="001641EA"/>
    <w:rsid w:val="00165982"/>
    <w:rsid w:val="0019184F"/>
    <w:rsid w:val="00197492"/>
    <w:rsid w:val="001A733B"/>
    <w:rsid w:val="001B349B"/>
    <w:rsid w:val="001C0E87"/>
    <w:rsid w:val="00207ED0"/>
    <w:rsid w:val="00211F10"/>
    <w:rsid w:val="00214550"/>
    <w:rsid w:val="00232138"/>
    <w:rsid w:val="00237D71"/>
    <w:rsid w:val="00243BA4"/>
    <w:rsid w:val="0025138E"/>
    <w:rsid w:val="00280621"/>
    <w:rsid w:val="00285681"/>
    <w:rsid w:val="002A5010"/>
    <w:rsid w:val="002A76BD"/>
    <w:rsid w:val="002C0F5B"/>
    <w:rsid w:val="002C6BC8"/>
    <w:rsid w:val="002D1E7C"/>
    <w:rsid w:val="002D4635"/>
    <w:rsid w:val="002D7133"/>
    <w:rsid w:val="002E4D3E"/>
    <w:rsid w:val="00301624"/>
    <w:rsid w:val="00337142"/>
    <w:rsid w:val="00342D97"/>
    <w:rsid w:val="00347F7A"/>
    <w:rsid w:val="003847F8"/>
    <w:rsid w:val="003A469E"/>
    <w:rsid w:val="003C3A45"/>
    <w:rsid w:val="003C5935"/>
    <w:rsid w:val="003D2214"/>
    <w:rsid w:val="003E0356"/>
    <w:rsid w:val="003F21F8"/>
    <w:rsid w:val="003F3820"/>
    <w:rsid w:val="003F5A0C"/>
    <w:rsid w:val="003F61A0"/>
    <w:rsid w:val="0040310B"/>
    <w:rsid w:val="004307BA"/>
    <w:rsid w:val="0043272C"/>
    <w:rsid w:val="00435270"/>
    <w:rsid w:val="00447265"/>
    <w:rsid w:val="00460FC2"/>
    <w:rsid w:val="004724E8"/>
    <w:rsid w:val="00481C05"/>
    <w:rsid w:val="00485647"/>
    <w:rsid w:val="00496E3E"/>
    <w:rsid w:val="004A435D"/>
    <w:rsid w:val="004C230A"/>
    <w:rsid w:val="004C33BA"/>
    <w:rsid w:val="004E0BA5"/>
    <w:rsid w:val="004E47AC"/>
    <w:rsid w:val="00500475"/>
    <w:rsid w:val="00502F73"/>
    <w:rsid w:val="00504DE4"/>
    <w:rsid w:val="005218C5"/>
    <w:rsid w:val="005269F1"/>
    <w:rsid w:val="005276D3"/>
    <w:rsid w:val="00532419"/>
    <w:rsid w:val="00542147"/>
    <w:rsid w:val="00543B7A"/>
    <w:rsid w:val="005609D9"/>
    <w:rsid w:val="005719D8"/>
    <w:rsid w:val="00582C95"/>
    <w:rsid w:val="00587D8A"/>
    <w:rsid w:val="0059370E"/>
    <w:rsid w:val="00596BE2"/>
    <w:rsid w:val="005972BF"/>
    <w:rsid w:val="005A30E1"/>
    <w:rsid w:val="005A6C74"/>
    <w:rsid w:val="005C2B1B"/>
    <w:rsid w:val="005E6F8E"/>
    <w:rsid w:val="005E71C0"/>
    <w:rsid w:val="006134A2"/>
    <w:rsid w:val="006168D5"/>
    <w:rsid w:val="006210CF"/>
    <w:rsid w:val="006222BE"/>
    <w:rsid w:val="00632F97"/>
    <w:rsid w:val="00651B46"/>
    <w:rsid w:val="006537E0"/>
    <w:rsid w:val="006565A7"/>
    <w:rsid w:val="0068301E"/>
    <w:rsid w:val="00683872"/>
    <w:rsid w:val="006906C1"/>
    <w:rsid w:val="006A4485"/>
    <w:rsid w:val="006A631F"/>
    <w:rsid w:val="006B22A3"/>
    <w:rsid w:val="006B72EA"/>
    <w:rsid w:val="006C53CF"/>
    <w:rsid w:val="006E0909"/>
    <w:rsid w:val="006E3402"/>
    <w:rsid w:val="006E4AC4"/>
    <w:rsid w:val="006F17A9"/>
    <w:rsid w:val="00700CA3"/>
    <w:rsid w:val="007066FC"/>
    <w:rsid w:val="00717ED9"/>
    <w:rsid w:val="0074200D"/>
    <w:rsid w:val="0074441C"/>
    <w:rsid w:val="00750732"/>
    <w:rsid w:val="007510AE"/>
    <w:rsid w:val="00752BB5"/>
    <w:rsid w:val="00753369"/>
    <w:rsid w:val="00760F22"/>
    <w:rsid w:val="00786FF7"/>
    <w:rsid w:val="00790326"/>
    <w:rsid w:val="007929C8"/>
    <w:rsid w:val="007B22D4"/>
    <w:rsid w:val="007B2DFC"/>
    <w:rsid w:val="007B7AF7"/>
    <w:rsid w:val="007F3BC7"/>
    <w:rsid w:val="007F3D18"/>
    <w:rsid w:val="007F66CB"/>
    <w:rsid w:val="0080184E"/>
    <w:rsid w:val="00803A59"/>
    <w:rsid w:val="00803C23"/>
    <w:rsid w:val="008239D2"/>
    <w:rsid w:val="00826B13"/>
    <w:rsid w:val="00861143"/>
    <w:rsid w:val="00883B80"/>
    <w:rsid w:val="008F0079"/>
    <w:rsid w:val="009422E2"/>
    <w:rsid w:val="0094333D"/>
    <w:rsid w:val="00952468"/>
    <w:rsid w:val="00966AB1"/>
    <w:rsid w:val="00976033"/>
    <w:rsid w:val="00995714"/>
    <w:rsid w:val="00997BE0"/>
    <w:rsid w:val="009B040F"/>
    <w:rsid w:val="009B6E5B"/>
    <w:rsid w:val="009C4804"/>
    <w:rsid w:val="009D5FF6"/>
    <w:rsid w:val="009D6985"/>
    <w:rsid w:val="009E4EA0"/>
    <w:rsid w:val="009F5532"/>
    <w:rsid w:val="00A03B42"/>
    <w:rsid w:val="00A0413B"/>
    <w:rsid w:val="00A1240E"/>
    <w:rsid w:val="00A1753D"/>
    <w:rsid w:val="00A22051"/>
    <w:rsid w:val="00A25978"/>
    <w:rsid w:val="00A26131"/>
    <w:rsid w:val="00A33C75"/>
    <w:rsid w:val="00A50EA8"/>
    <w:rsid w:val="00A6411D"/>
    <w:rsid w:val="00A71759"/>
    <w:rsid w:val="00A8276A"/>
    <w:rsid w:val="00A962CD"/>
    <w:rsid w:val="00AB4710"/>
    <w:rsid w:val="00AE4B06"/>
    <w:rsid w:val="00AF2A6C"/>
    <w:rsid w:val="00AF79E3"/>
    <w:rsid w:val="00B07698"/>
    <w:rsid w:val="00B100A2"/>
    <w:rsid w:val="00B204ED"/>
    <w:rsid w:val="00B23D6C"/>
    <w:rsid w:val="00B245ED"/>
    <w:rsid w:val="00B32C88"/>
    <w:rsid w:val="00B53A08"/>
    <w:rsid w:val="00B5591E"/>
    <w:rsid w:val="00B64C7F"/>
    <w:rsid w:val="00B75C8F"/>
    <w:rsid w:val="00B82C07"/>
    <w:rsid w:val="00B85460"/>
    <w:rsid w:val="00B8730A"/>
    <w:rsid w:val="00B9204D"/>
    <w:rsid w:val="00BA509A"/>
    <w:rsid w:val="00BB79C3"/>
    <w:rsid w:val="00BD411B"/>
    <w:rsid w:val="00BD50D2"/>
    <w:rsid w:val="00BE2961"/>
    <w:rsid w:val="00BE4940"/>
    <w:rsid w:val="00BE7F06"/>
    <w:rsid w:val="00BF46F6"/>
    <w:rsid w:val="00C1352C"/>
    <w:rsid w:val="00C1514A"/>
    <w:rsid w:val="00C15B46"/>
    <w:rsid w:val="00C206B4"/>
    <w:rsid w:val="00C37C9D"/>
    <w:rsid w:val="00C46FBD"/>
    <w:rsid w:val="00C51FD0"/>
    <w:rsid w:val="00C55EB1"/>
    <w:rsid w:val="00C626EA"/>
    <w:rsid w:val="00CB1EE2"/>
    <w:rsid w:val="00CB3180"/>
    <w:rsid w:val="00CB67E8"/>
    <w:rsid w:val="00CE0595"/>
    <w:rsid w:val="00CF7571"/>
    <w:rsid w:val="00D248C4"/>
    <w:rsid w:val="00D56BE5"/>
    <w:rsid w:val="00D63785"/>
    <w:rsid w:val="00D72D8F"/>
    <w:rsid w:val="00D832FD"/>
    <w:rsid w:val="00D85A05"/>
    <w:rsid w:val="00D94CDC"/>
    <w:rsid w:val="00DB266E"/>
    <w:rsid w:val="00DB4D14"/>
    <w:rsid w:val="00DD3D25"/>
    <w:rsid w:val="00DD45C0"/>
    <w:rsid w:val="00DD61EB"/>
    <w:rsid w:val="00DE0A79"/>
    <w:rsid w:val="00DE1FEF"/>
    <w:rsid w:val="00DE4B81"/>
    <w:rsid w:val="00DF675B"/>
    <w:rsid w:val="00E16D66"/>
    <w:rsid w:val="00E16F2F"/>
    <w:rsid w:val="00E3445A"/>
    <w:rsid w:val="00E37368"/>
    <w:rsid w:val="00E602A2"/>
    <w:rsid w:val="00E80ABB"/>
    <w:rsid w:val="00E8239C"/>
    <w:rsid w:val="00E93D61"/>
    <w:rsid w:val="00EA23C7"/>
    <w:rsid w:val="00EA654D"/>
    <w:rsid w:val="00EC78D0"/>
    <w:rsid w:val="00EC799F"/>
    <w:rsid w:val="00ED503D"/>
    <w:rsid w:val="00EE7C67"/>
    <w:rsid w:val="00EF2161"/>
    <w:rsid w:val="00F07D05"/>
    <w:rsid w:val="00F71D6A"/>
    <w:rsid w:val="00F77DD4"/>
    <w:rsid w:val="00F86208"/>
    <w:rsid w:val="00F902C7"/>
    <w:rsid w:val="00FA5847"/>
    <w:rsid w:val="00FB3CB9"/>
    <w:rsid w:val="00FD7FDC"/>
    <w:rsid w:val="00FE55B6"/>
    <w:rsid w:val="00FE6EAD"/>
    <w:rsid w:val="00FE74B7"/>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AABA"/>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link w:val="ListParagraphChar"/>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 w:type="character" w:customStyle="1" w:styleId="ListParagraphChar">
    <w:name w:val="List Paragraph Char"/>
    <w:link w:val="ListParagraph"/>
    <w:uiPriority w:val="34"/>
    <w:locked/>
    <w:rsid w:val="00AE4B06"/>
  </w:style>
  <w:style w:type="paragraph" w:styleId="FootnoteText">
    <w:name w:val="footnote text"/>
    <w:basedOn w:val="Normal"/>
    <w:link w:val="FootnoteTextChar"/>
    <w:uiPriority w:val="99"/>
    <w:semiHidden/>
    <w:unhideWhenUsed/>
    <w:rsid w:val="003C3A45"/>
    <w:pPr>
      <w:spacing w:after="0" w:line="240" w:lineRule="auto"/>
    </w:pPr>
    <w:rPr>
      <w:rFonts w:ascii="Times New Roman" w:eastAsia="Times New Roman" w:hAnsi="Times New Roman" w:cs="Times New Roman"/>
      <w:sz w:val="20"/>
      <w:szCs w:val="20"/>
      <w:lang w:val="sq-AL"/>
    </w:rPr>
  </w:style>
  <w:style w:type="character" w:customStyle="1" w:styleId="FootnoteTextChar">
    <w:name w:val="Footnote Text Char"/>
    <w:basedOn w:val="DefaultParagraphFont"/>
    <w:link w:val="FootnoteText"/>
    <w:uiPriority w:val="99"/>
    <w:semiHidden/>
    <w:rsid w:val="003C3A45"/>
    <w:rPr>
      <w:rFonts w:ascii="Times New Roman" w:eastAsia="Times New Roman" w:hAnsi="Times New Roman" w:cs="Times New Roman"/>
      <w:sz w:val="20"/>
      <w:szCs w:val="20"/>
      <w:lang w:val="sq-AL"/>
    </w:rPr>
  </w:style>
  <w:style w:type="character" w:styleId="FootnoteReference">
    <w:name w:val="footnote reference"/>
    <w:uiPriority w:val="99"/>
    <w:semiHidden/>
    <w:unhideWhenUsed/>
    <w:rsid w:val="003C3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816412">
      <w:bodyDiv w:val="1"/>
      <w:marLeft w:val="0"/>
      <w:marRight w:val="0"/>
      <w:marTop w:val="0"/>
      <w:marBottom w:val="0"/>
      <w:divBdr>
        <w:top w:val="none" w:sz="0" w:space="0" w:color="auto"/>
        <w:left w:val="none" w:sz="0" w:space="0" w:color="auto"/>
        <w:bottom w:val="none" w:sz="0" w:space="0" w:color="auto"/>
        <w:right w:val="none" w:sz="0" w:space="0" w:color="auto"/>
      </w:divBdr>
    </w:div>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9504</Words>
  <Characters>54174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3</cp:revision>
  <dcterms:created xsi:type="dcterms:W3CDTF">2022-07-25T07:26:00Z</dcterms:created>
  <dcterms:modified xsi:type="dcterms:W3CDTF">2022-07-25T07:27:00Z</dcterms:modified>
</cp:coreProperties>
</file>